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11BC" w14:textId="77777777" w:rsidR="007353E0" w:rsidRPr="007353E0" w:rsidRDefault="007353E0" w:rsidP="00781E2D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FF0000"/>
          <w:sz w:val="24"/>
        </w:rPr>
      </w:pPr>
      <w:bookmarkStart w:id="0" w:name="_GoBack"/>
      <w:bookmarkEnd w:id="0"/>
    </w:p>
    <w:p w14:paraId="31C74A1E" w14:textId="77777777" w:rsidR="00781E2D" w:rsidRPr="00905B04" w:rsidRDefault="00781E2D" w:rsidP="00781E2D">
      <w:pPr>
        <w:pStyle w:val="af2"/>
        <w:kinsoku w:val="0"/>
        <w:overflowPunct w:val="0"/>
        <w:spacing w:before="50"/>
        <w:ind w:left="4983" w:firstLine="0"/>
        <w:jc w:val="right"/>
        <w:rPr>
          <w:b/>
          <w:bCs/>
          <w:spacing w:val="-1"/>
        </w:rPr>
      </w:pPr>
      <w:r w:rsidRPr="00905B04">
        <w:rPr>
          <w:b/>
          <w:bCs/>
          <w:spacing w:val="-1"/>
        </w:rPr>
        <w:t>УТВЕРЖДЕНО</w:t>
      </w:r>
    </w:p>
    <w:p w14:paraId="45733E1C" w14:textId="77777777" w:rsidR="00781E2D" w:rsidRPr="00905B04" w:rsidRDefault="00781E2D" w:rsidP="00781E2D">
      <w:pPr>
        <w:pStyle w:val="af2"/>
        <w:kinsoku w:val="0"/>
        <w:overflowPunct w:val="0"/>
        <w:ind w:left="4253" w:right="107" w:firstLine="0"/>
        <w:jc w:val="right"/>
      </w:pPr>
      <w:r w:rsidRPr="00905B04">
        <w:rPr>
          <w:spacing w:val="-1"/>
        </w:rPr>
        <w:t>Решением</w:t>
      </w:r>
      <w:r w:rsidRPr="00905B04">
        <w:t xml:space="preserve"> </w:t>
      </w:r>
      <w:r w:rsidRPr="00905B04">
        <w:rPr>
          <w:spacing w:val="-1"/>
        </w:rPr>
        <w:t>Совета</w:t>
      </w:r>
      <w:r w:rsidRPr="00905B04">
        <w:t xml:space="preserve"> по </w:t>
      </w:r>
      <w:r w:rsidRPr="00905B04">
        <w:rPr>
          <w:spacing w:val="-1"/>
        </w:rPr>
        <w:t>профессиональным</w:t>
      </w:r>
      <w:r w:rsidRPr="00905B04">
        <w:rPr>
          <w:spacing w:val="45"/>
        </w:rPr>
        <w:t xml:space="preserve"> </w:t>
      </w:r>
      <w:r w:rsidRPr="00905B04">
        <w:rPr>
          <w:spacing w:val="-1"/>
        </w:rPr>
        <w:t>квалификациям</w:t>
      </w:r>
      <w:r w:rsidRPr="00905B04">
        <w:rPr>
          <w:spacing w:val="1"/>
        </w:rPr>
        <w:t xml:space="preserve"> </w:t>
      </w:r>
      <w:r w:rsidRPr="00905B04">
        <w:t>в</w:t>
      </w:r>
      <w:r w:rsidRPr="00905B04">
        <w:rPr>
          <w:spacing w:val="-1"/>
        </w:rPr>
        <w:t xml:space="preserve"> </w:t>
      </w:r>
      <w:r w:rsidRPr="00905B04">
        <w:t>сфере безопасности труда, социальной защиты и занятости населения</w:t>
      </w:r>
    </w:p>
    <w:p w14:paraId="71229082" w14:textId="7057F624" w:rsidR="00781E2D" w:rsidRPr="00905B04" w:rsidRDefault="00781E2D" w:rsidP="00781E2D">
      <w:pPr>
        <w:pStyle w:val="af2"/>
        <w:kinsoku w:val="0"/>
        <w:overflowPunct w:val="0"/>
        <w:ind w:left="4253" w:firstLine="0"/>
        <w:jc w:val="right"/>
      </w:pPr>
      <w:r>
        <w:t>(п</w:t>
      </w:r>
      <w:r w:rsidRPr="00905B04">
        <w:t>ротокол от</w:t>
      </w:r>
      <w:r w:rsidRPr="00905B04">
        <w:rPr>
          <w:spacing w:val="5"/>
        </w:rPr>
        <w:t xml:space="preserve"> </w:t>
      </w:r>
      <w:proofErr w:type="gramStart"/>
      <w:r w:rsidRPr="00905B04">
        <w:rPr>
          <w:spacing w:val="-8"/>
        </w:rPr>
        <w:t>« 29</w:t>
      </w:r>
      <w:proofErr w:type="gramEnd"/>
      <w:r w:rsidRPr="00905B04">
        <w:t xml:space="preserve"> » августа 2019 г.</w:t>
      </w:r>
      <w:r w:rsidRPr="00341AD5">
        <w:t xml:space="preserve"> </w:t>
      </w:r>
      <w:r w:rsidRPr="00905B04">
        <w:t>№10</w:t>
      </w:r>
      <w:r>
        <w:t>)</w:t>
      </w:r>
    </w:p>
    <w:p w14:paraId="560ED159" w14:textId="77777777" w:rsidR="00781E2D" w:rsidRPr="00905B04" w:rsidRDefault="00781E2D" w:rsidP="00781E2D">
      <w:pPr>
        <w:spacing w:after="2" w:line="254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</w:p>
    <w:p w14:paraId="11822292" w14:textId="77777777" w:rsidR="00781E2D" w:rsidRPr="00905B04" w:rsidRDefault="00781E2D" w:rsidP="00781E2D">
      <w:pPr>
        <w:spacing w:after="2" w:line="254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</w:p>
    <w:p w14:paraId="5D3CBC0F" w14:textId="77777777" w:rsidR="00781E2D" w:rsidRPr="00905B04" w:rsidRDefault="00781E2D" w:rsidP="00781E2D">
      <w:pPr>
        <w:spacing w:after="2" w:line="254" w:lineRule="auto"/>
        <w:ind w:right="43"/>
        <w:jc w:val="both"/>
        <w:rPr>
          <w:rFonts w:ascii="Times New Roman" w:hAnsi="Times New Roman"/>
          <w:b/>
          <w:i/>
          <w:sz w:val="24"/>
          <w:szCs w:val="24"/>
        </w:rPr>
      </w:pPr>
      <w:r w:rsidRPr="00905B0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E07662F" w14:textId="77777777" w:rsidR="00781E2D" w:rsidRPr="00905B04" w:rsidRDefault="00781E2D" w:rsidP="00781E2D">
      <w:pPr>
        <w:spacing w:after="2" w:line="254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14:paraId="7CE81800" w14:textId="798ABBC9" w:rsidR="00781E2D" w:rsidRPr="00905B04" w:rsidRDefault="00781E2D" w:rsidP="00781E2D">
      <w:pPr>
        <w:spacing w:after="2" w:line="254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905B04">
        <w:rPr>
          <w:rFonts w:ascii="Times New Roman" w:hAnsi="Times New Roman"/>
          <w:b/>
          <w:sz w:val="24"/>
          <w:szCs w:val="24"/>
        </w:rPr>
        <w:t>ПОЛОЖЕНИЕ</w:t>
      </w:r>
    </w:p>
    <w:p w14:paraId="6EEDACD0" w14:textId="77777777" w:rsidR="00781E2D" w:rsidRPr="00905B04" w:rsidRDefault="00781E2D" w:rsidP="00781E2D">
      <w:pPr>
        <w:spacing w:after="2" w:line="254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5B04">
        <w:rPr>
          <w:rFonts w:ascii="Times New Roman" w:hAnsi="Times New Roman"/>
          <w:b/>
          <w:sz w:val="24"/>
          <w:szCs w:val="24"/>
        </w:rPr>
        <w:t>ОБ  ОТБОРЕ</w:t>
      </w:r>
      <w:proofErr w:type="gramEnd"/>
      <w:r w:rsidRPr="00905B04">
        <w:rPr>
          <w:rFonts w:ascii="Times New Roman" w:hAnsi="Times New Roman"/>
          <w:b/>
          <w:sz w:val="24"/>
          <w:szCs w:val="24"/>
        </w:rPr>
        <w:t>, МОНИТОРИНГЕ И КОНТРОЛЕ ДЕЯТЕЛЬНОСТИ АККРЕДИТУЮЩИХ ОРГАНИЗАЦИЙ</w:t>
      </w:r>
    </w:p>
    <w:p w14:paraId="2F0B884C" w14:textId="77777777" w:rsidR="00781E2D" w:rsidRPr="00905B04" w:rsidRDefault="00781E2D" w:rsidP="00781E2D">
      <w:pPr>
        <w:spacing w:after="2" w:line="254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14:paraId="68789244" w14:textId="77777777" w:rsidR="00781E2D" w:rsidRPr="00905B04" w:rsidRDefault="00781E2D" w:rsidP="00781E2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i/>
          <w:sz w:val="24"/>
          <w:szCs w:val="24"/>
        </w:rPr>
        <w:t>Аккредитующая организация</w:t>
      </w:r>
      <w:r w:rsidRPr="00905B04">
        <w:rPr>
          <w:rFonts w:ascii="Times New Roman" w:hAnsi="Times New Roman"/>
          <w:sz w:val="24"/>
          <w:szCs w:val="24"/>
        </w:rPr>
        <w:t xml:space="preserve"> – организация, наделенная Советом по профессиональным квалификациям в сфере безопасности труда, социальной защиты и занятости населения (далее – СПК)  полномочием на проведение профессионально-общественной аккредитации основных профессиональных образовательных программ, основных программ профессионального обучения и дополнительных профессиональных программ (далее – профессионально-общественная аккредитация). </w:t>
      </w:r>
    </w:p>
    <w:p w14:paraId="74901F8E" w14:textId="77777777" w:rsidR="00781E2D" w:rsidRPr="00905B04" w:rsidRDefault="00781E2D" w:rsidP="00781E2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Аккредитующими организациями могут быть работодатели, общероссийские и иные объединения работодателей, ассоциации (союзы) или иные организации, представляющие и (или) объединяющие профессиональные сообщества.</w:t>
      </w:r>
    </w:p>
    <w:p w14:paraId="58177728" w14:textId="77777777" w:rsidR="00781E2D" w:rsidRPr="00905B04" w:rsidRDefault="00781E2D" w:rsidP="00781E2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Отбор аккредитующих организаций СПК осуществляет на основании оценки </w:t>
      </w:r>
      <w:r w:rsidRPr="00905B04">
        <w:rPr>
          <w:noProof/>
          <w:sz w:val="24"/>
          <w:szCs w:val="24"/>
          <w:lang w:eastAsia="ru-RU"/>
        </w:rPr>
        <w:drawing>
          <wp:inline distT="0" distB="0" distL="0" distR="0" wp14:anchorId="63251A4C" wp14:editId="216ED238">
            <wp:extent cx="9525" cy="9525"/>
            <wp:effectExtent l="19050" t="0" r="9525" b="0"/>
            <wp:docPr id="1" name="Picture 44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B04">
        <w:rPr>
          <w:rFonts w:ascii="Times New Roman" w:hAnsi="Times New Roman"/>
          <w:sz w:val="24"/>
          <w:szCs w:val="24"/>
        </w:rPr>
        <w:t>сведений, подтверждающих:</w:t>
      </w:r>
    </w:p>
    <w:p w14:paraId="17431B04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статус заявителя как работодателя по заявленному виду (видам) профессиональной деятельности либо общероссийского или иного объединения работодателей, ассоциации (союза) или иной организации, представляющей и (или) объединяющей профессиональные сообщества, по заявленному виду (видам) профессиональной деятельности; </w:t>
      </w:r>
    </w:p>
    <w:p w14:paraId="047027FF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наличие кадровых, материальных и информационных ресурсов для проведения профессионально-общественной аккредитации, в том числе штатных сотрудников, наличие помещения с необходимым оборудованием, официального сайта в сети «Интернет» и др.; </w:t>
      </w:r>
    </w:p>
    <w:p w14:paraId="5DBB164F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опыт деятельности заявителя в области внедрения элементов национальной системы квалификаций (участие в разработке профессиональных стандартов, проектировании образовательных программ с учетом профессиональных стандартов, разработке оценочных средств для независимой оценки квалификации, проведении профессионально-общественной аккредитации).</w:t>
      </w:r>
    </w:p>
    <w:p w14:paraId="6D53C923" w14:textId="44D4A907" w:rsidR="00781E2D" w:rsidRPr="00905B04" w:rsidRDefault="00781E2D" w:rsidP="00781E2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Каждая организация, претендующая на статус аккредитующей организации, должна в письменном виде подтвердить обязательство руководствоваться законодательством Российской Федерации, документами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B04">
        <w:rPr>
          <w:rFonts w:ascii="Times New Roman" w:hAnsi="Times New Roman"/>
          <w:sz w:val="24"/>
          <w:szCs w:val="24"/>
        </w:rPr>
        <w:t xml:space="preserve">Федерации, Минтруда России, Минобрнауки России, </w:t>
      </w:r>
      <w:proofErr w:type="spellStart"/>
      <w:r w:rsidRPr="00905B0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05B04">
        <w:rPr>
          <w:rFonts w:ascii="Times New Roman" w:hAnsi="Times New Roman"/>
          <w:sz w:val="24"/>
          <w:szCs w:val="24"/>
        </w:rPr>
        <w:t xml:space="preserve"> России, Национального совета при Президенте Российской Федерации по профессиональным квалификациям, Национального агентства развития квалификаций и СПК по вопросам проведения профессионально-общественной аккредитации.</w:t>
      </w:r>
    </w:p>
    <w:p w14:paraId="425827E5" w14:textId="77777777" w:rsidR="00781E2D" w:rsidRPr="00905B04" w:rsidRDefault="00781E2D" w:rsidP="00781E2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СПК не может отказать заявителю в наделении полномочием на проведение профессионально-общественной аккредитации, если заявитель соответствует требованиям Национального совета при Президенте Российской Федерации по профессиональным квалификациям и СПК, утвержденным и опубликованным в установленном порядке (в т.ч. </w:t>
      </w:r>
      <w:r w:rsidRPr="00905B04">
        <w:rPr>
          <w:rFonts w:ascii="Times New Roman" w:hAnsi="Times New Roman"/>
          <w:sz w:val="24"/>
          <w:szCs w:val="24"/>
        </w:rPr>
        <w:lastRenderedPageBreak/>
        <w:t>на официальных сайтах в сети «Интернет»). Если требования не опубликованы, они не могут использоваться в качестве основания для отказа заявителю.</w:t>
      </w:r>
    </w:p>
    <w:p w14:paraId="4AFF507C" w14:textId="77777777" w:rsidR="00781E2D" w:rsidRPr="00905B04" w:rsidRDefault="00781E2D" w:rsidP="00781E2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Если накопленный опыт проведения аккредитационных экспертиз позволяет аккредитующей организации сформулировать предложения по актуализации действующих документов СПК, эти предложения должны быть представлены на рассмотрение СПК.</w:t>
      </w:r>
    </w:p>
    <w:p w14:paraId="3FBF8C26" w14:textId="77777777" w:rsidR="00781E2D" w:rsidRPr="00905B04" w:rsidRDefault="00781E2D" w:rsidP="00781E2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Аккредитующая организация может быть наделена полномочием на проведение профессионально-общественной аккредитации по одному или нескольким видам профессиональной деятельности в соответствии с полномочием СПК.</w:t>
      </w:r>
    </w:p>
    <w:p w14:paraId="3270653F" w14:textId="77777777" w:rsidR="00781E2D" w:rsidRPr="00905B04" w:rsidRDefault="00781E2D" w:rsidP="00781E2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СПК наделяет отобранную аккредитующую организацию полномочием по проведению профессионально-общественной аккредитации сроком на 5 лет, по истечении этого срока аккредитующая организация проходит плановую проверку.</w:t>
      </w:r>
    </w:p>
    <w:p w14:paraId="1CE8FAC1" w14:textId="77777777" w:rsidR="00781E2D" w:rsidRPr="00905B04" w:rsidRDefault="00781E2D" w:rsidP="00781E2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Аккредитующая организация осуществляет все этапы процедуры профессионально-общественной аккредитации:</w:t>
      </w:r>
    </w:p>
    <w:p w14:paraId="30E881ED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оформляет договорные отношения с образовательными организациями, заинтересованными в представлении образовательных программ для проведения профессионально-общественной аккредитации; </w:t>
      </w:r>
    </w:p>
    <w:p w14:paraId="62CD2355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принимает решение о профессионально-общественной аккредитации или отказе в профессионально-общественной аккредитации; </w:t>
      </w:r>
    </w:p>
    <w:p w14:paraId="72D16398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организует и проводит аккредитационную экспертизу; </w:t>
      </w:r>
    </w:p>
    <w:p w14:paraId="65E6B7C0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выдает свидетельство о профессионально-общественной аккредитации; </w:t>
      </w:r>
    </w:p>
    <w:p w14:paraId="5F243291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ведет реестр аккредитованных образовательных программ.</w:t>
      </w:r>
    </w:p>
    <w:p w14:paraId="0AB4BB26" w14:textId="77777777" w:rsidR="00781E2D" w:rsidRPr="00905B04" w:rsidRDefault="00781E2D" w:rsidP="00781E2D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На выдаваемом свидетельстве о профессионально-общественной аккредитации должен быть помещен логотип аккредитующей организации и СПК.</w:t>
      </w:r>
    </w:p>
    <w:p w14:paraId="527C4572" w14:textId="77777777" w:rsidR="00781E2D" w:rsidRPr="00905B04" w:rsidRDefault="00781E2D" w:rsidP="00781E2D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Для обеспечения качества процедур профессионально-общественной аккредитации СПК проводит мониторинг деятельности аккредитующих организаций. Он осуществляется в целях систематического наблюдения, анализа, изучения практики профессионально-общественной аккредитации, выявления и устранения недостатков, выработки предложений, направленных на повышение эффективности деятельности аккредитующих организаций, доверия к процедуре профессионально-общественной аккредитации, заинтересованности в ее прохождении со стороны образовательных организаций и использования ее результатов со стороны работодателей.</w:t>
      </w:r>
      <w:r w:rsidRPr="00905B04">
        <w:rPr>
          <w:noProof/>
          <w:sz w:val="24"/>
          <w:szCs w:val="24"/>
          <w:lang w:eastAsia="ru-RU"/>
        </w:rPr>
        <w:drawing>
          <wp:inline distT="0" distB="0" distL="0" distR="0" wp14:anchorId="33836471" wp14:editId="52B1226F">
            <wp:extent cx="9525" cy="9525"/>
            <wp:effectExtent l="19050" t="0" r="9525" b="0"/>
            <wp:docPr id="6" name="Picture 19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0F970" w14:textId="77777777" w:rsidR="00781E2D" w:rsidRPr="00905B04" w:rsidRDefault="00781E2D" w:rsidP="00781E2D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 Мониторинг осуществляет</w:t>
      </w:r>
      <w:r w:rsidRPr="00905B04">
        <w:rPr>
          <w:sz w:val="24"/>
          <w:szCs w:val="24"/>
        </w:rPr>
        <w:t xml:space="preserve"> </w:t>
      </w:r>
      <w:r w:rsidRPr="00905B04">
        <w:rPr>
          <w:rFonts w:ascii="Times New Roman" w:hAnsi="Times New Roman"/>
          <w:sz w:val="24"/>
          <w:szCs w:val="24"/>
        </w:rPr>
        <w:t>Рабочая группа по организации профессионально-общественной аккредитации основных профессиональных образовательных программ, основных программ профессионального обучения и дополнительных профессиональных программ СПК (далее – Рабочая группа), действующая в соответствии с Положением о Рабочей группе, утвержденным Председателем СПК.</w:t>
      </w:r>
    </w:p>
    <w:p w14:paraId="62EDFB0D" w14:textId="77777777" w:rsidR="00781E2D" w:rsidRPr="00905B04" w:rsidRDefault="00781E2D" w:rsidP="00781E2D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sz w:val="24"/>
          <w:szCs w:val="24"/>
        </w:rPr>
        <w:t xml:space="preserve"> </w:t>
      </w:r>
      <w:r w:rsidRPr="00905B04">
        <w:rPr>
          <w:rFonts w:ascii="Times New Roman" w:hAnsi="Times New Roman"/>
          <w:sz w:val="24"/>
          <w:szCs w:val="24"/>
        </w:rPr>
        <w:t>Мониторинг проводится на основании ежегодных отчетов аккредитующих организаций. При проведении мониторинга Рабочая группа рассматривает представленную аккредитующими организациями информацию по следующим вопросам:</w:t>
      </w:r>
      <w:r w:rsidRPr="00905B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82DEED" wp14:editId="67AF2BCC">
            <wp:extent cx="9525" cy="9525"/>
            <wp:effectExtent l="19050" t="0" r="9525" b="0"/>
            <wp:docPr id="3" name="Picture 4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518DB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виды и уровни образовательных программ, представлявшихся для проведения профессионально-общественной аккредитации; </w:t>
      </w:r>
    </w:p>
    <w:p w14:paraId="4A57826B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количество проведенных аккредитационных экспертиз; </w:t>
      </w:r>
    </w:p>
    <w:p w14:paraId="1A331C30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количество аккредитованных программ; </w:t>
      </w:r>
    </w:p>
    <w:p w14:paraId="35CD24B2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причины отказа в профессионально-общественной аккредитации;</w:t>
      </w:r>
    </w:p>
    <w:p w14:paraId="1A05908A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подготовка экспертов;</w:t>
      </w:r>
    </w:p>
    <w:p w14:paraId="6286C9BC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предложения по совершенствованию подготовки кадров (на основании анализа результатов профессионально-общественной аккредитации).</w:t>
      </w:r>
    </w:p>
    <w:p w14:paraId="67F615B3" w14:textId="77777777" w:rsidR="00781E2D" w:rsidRPr="00905B04" w:rsidRDefault="00781E2D" w:rsidP="00781E2D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 xml:space="preserve">СПК осуществляет контроль деятельности аккредитующей организации в целях своевременного выявления и устранения несоответствия деятельности аккредитующей организации ее задачам и функциям, установленным нормативными правовыми актами и организационно-методическими документами СПК. </w:t>
      </w:r>
      <w:proofErr w:type="gramStart"/>
      <w:r w:rsidRPr="00905B04">
        <w:rPr>
          <w:rFonts w:ascii="Times New Roman" w:hAnsi="Times New Roman"/>
          <w:sz w:val="24"/>
          <w:szCs w:val="24"/>
        </w:rPr>
        <w:t>Контроль  осуществляется</w:t>
      </w:r>
      <w:proofErr w:type="gramEnd"/>
      <w:r w:rsidRPr="00905B04">
        <w:rPr>
          <w:rFonts w:ascii="Times New Roman" w:hAnsi="Times New Roman"/>
          <w:sz w:val="24"/>
          <w:szCs w:val="24"/>
        </w:rPr>
        <w:t xml:space="preserve"> в следующих формах:</w:t>
      </w:r>
    </w:p>
    <w:p w14:paraId="66AB5D26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lastRenderedPageBreak/>
        <w:t xml:space="preserve">рассмотрение на заседаниях СПК информации о результатах деятельности аккредитующей организации; </w:t>
      </w:r>
    </w:p>
    <w:p w14:paraId="572174F0" w14:textId="77777777" w:rsidR="00781E2D" w:rsidRPr="00905B04" w:rsidRDefault="00781E2D" w:rsidP="0078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внеплановые проверки деятельности аккредитующей организации в случае положительных решений по апелляциям образовательных организаций на процедуру профессионально-общественной аккредитации, проведенную аккредитующей организацией.</w:t>
      </w:r>
    </w:p>
    <w:p w14:paraId="398FF7E0" w14:textId="77777777" w:rsidR="00781E2D" w:rsidRPr="00905B04" w:rsidRDefault="00781E2D" w:rsidP="00781E2D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B04">
        <w:rPr>
          <w:rFonts w:ascii="Times New Roman" w:hAnsi="Times New Roman"/>
          <w:sz w:val="24"/>
          <w:szCs w:val="24"/>
        </w:rPr>
        <w:t>Внеплановые проверки проводятся лицом, уполномоченным СПК на проведение проверки, или комиссией, включающей в себя нескольких проверяющих. По результатам проверки СПК имеет право принять решение о лишении аккредитующей организации полномочий в случае несоблюдения ею установленного советом порядка (порядков) проведения профессионально-общественной аккредитации и критериев оценки образовательных программ.</w:t>
      </w:r>
    </w:p>
    <w:p w14:paraId="0DFCAEB7" w14:textId="77777777" w:rsidR="00781E2D" w:rsidRDefault="00781E2D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D16B2D" w14:textId="77777777" w:rsid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0977C9" w14:textId="77777777" w:rsidR="00E63DAE" w:rsidRDefault="00E63DAE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453D13" w14:textId="77777777" w:rsidR="00E63DAE" w:rsidRDefault="00E63DAE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44E0D7" w14:textId="77777777" w:rsidR="00E63DAE" w:rsidRDefault="00E63DAE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7250E6" w14:textId="77777777" w:rsid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967B9E" w14:textId="77777777" w:rsid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114419" w14:textId="77777777" w:rsid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6E5BE8" w14:textId="77777777" w:rsid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C8B18B" w14:textId="77777777" w:rsid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4FE84E" w14:textId="77777777" w:rsid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8FC4C2" w14:textId="77777777" w:rsid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7C512B" w14:textId="77777777" w:rsid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42C0DA" w14:textId="77777777" w:rsidR="0021389F" w:rsidRPr="00DF2AA1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D4A0F" w14:textId="77777777" w:rsidR="0021389F" w:rsidRPr="0021389F" w:rsidRDefault="0021389F" w:rsidP="00781E2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53991EE2" w14:textId="77777777" w:rsidR="00E857D2" w:rsidRDefault="00E857D2" w:rsidP="0078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857D2" w:rsidSect="00C03E4D">
      <w:foot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8424" w14:textId="77777777" w:rsidR="004970D5" w:rsidRDefault="004970D5" w:rsidP="000A4855">
      <w:pPr>
        <w:spacing w:after="0" w:line="240" w:lineRule="auto"/>
      </w:pPr>
      <w:r>
        <w:separator/>
      </w:r>
    </w:p>
  </w:endnote>
  <w:endnote w:type="continuationSeparator" w:id="0">
    <w:p w14:paraId="63521E59" w14:textId="77777777" w:rsidR="004970D5" w:rsidRDefault="004970D5" w:rsidP="000A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CAE4" w14:textId="77777777" w:rsidR="00C03E4D" w:rsidRDefault="00760C6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60237">
      <w:rPr>
        <w:noProof/>
      </w:rPr>
      <w:t>15</w:t>
    </w:r>
    <w:r>
      <w:rPr>
        <w:noProof/>
      </w:rPr>
      <w:fldChar w:fldCharType="end"/>
    </w:r>
  </w:p>
  <w:p w14:paraId="514F6D43" w14:textId="77777777" w:rsidR="00C03E4D" w:rsidRDefault="00C03E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B7D6" w14:textId="77777777" w:rsidR="004970D5" w:rsidRDefault="004970D5" w:rsidP="000A4855">
      <w:pPr>
        <w:spacing w:after="0" w:line="240" w:lineRule="auto"/>
      </w:pPr>
      <w:r>
        <w:separator/>
      </w:r>
    </w:p>
  </w:footnote>
  <w:footnote w:type="continuationSeparator" w:id="0">
    <w:p w14:paraId="64E79FA0" w14:textId="77777777" w:rsidR="004970D5" w:rsidRDefault="004970D5" w:rsidP="000A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46D0" w14:textId="77777777" w:rsidR="00320725" w:rsidRPr="00320725" w:rsidRDefault="00FC4EB2" w:rsidP="00320725">
    <w:pPr>
      <w:tabs>
        <w:tab w:val="center" w:pos="4677"/>
        <w:tab w:val="right" w:pos="9355"/>
      </w:tabs>
      <w:spacing w:after="0" w:line="240" w:lineRule="auto"/>
      <w:ind w:left="1276"/>
      <w:rPr>
        <w:color w:val="0000FF"/>
        <w:u w:val="single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02751305" wp14:editId="60675BB7">
          <wp:simplePos x="0" y="0"/>
          <wp:positionH relativeFrom="column">
            <wp:posOffset>-635</wp:posOffset>
          </wp:positionH>
          <wp:positionV relativeFrom="paragraph">
            <wp:posOffset>-83820</wp:posOffset>
          </wp:positionV>
          <wp:extent cx="501015" cy="501015"/>
          <wp:effectExtent l="19050" t="0" r="0" b="0"/>
          <wp:wrapSquare wrapText="bothSides"/>
          <wp:docPr id="2" name="Рисунок 3" descr="Логотип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тип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622" w:rsidRPr="00320725">
      <w:fldChar w:fldCharType="begin"/>
    </w:r>
    <w:r w:rsidR="00320725" w:rsidRPr="00320725">
      <w:instrText xml:space="preserve"> HYPERLINK "http://spk.vcot.info/" </w:instrText>
    </w:r>
    <w:r w:rsidR="00667622" w:rsidRPr="00320725">
      <w:fldChar w:fldCharType="separate"/>
    </w:r>
    <w:r w:rsidR="00320725" w:rsidRPr="00320725">
      <w:rPr>
        <w:color w:val="0000FF"/>
        <w:u w:val="single"/>
      </w:rPr>
      <w:t xml:space="preserve">СОВЕТ ПО ПРОФЕССИОНАЛЬНЫМ КВАЛИФИКАЦИЯМ В СФЕРЕ БЕЗОПАСНОСТИ </w:t>
    </w:r>
    <w:proofErr w:type="gramStart"/>
    <w:r w:rsidR="00320725" w:rsidRPr="00320725">
      <w:rPr>
        <w:color w:val="0000FF"/>
        <w:u w:val="single"/>
      </w:rPr>
      <w:t>ТРУДА,  СОЦИАЛЬНОЙ</w:t>
    </w:r>
    <w:proofErr w:type="gramEnd"/>
    <w:r w:rsidR="00320725" w:rsidRPr="00320725">
      <w:rPr>
        <w:color w:val="0000FF"/>
        <w:u w:val="single"/>
      </w:rPr>
      <w:t xml:space="preserve">  ЗАЩИТЫ  И  ЗАНЯТОСТИ  НАСЕЛЕНИЯ</w:t>
    </w:r>
  </w:p>
  <w:p w14:paraId="788D6337" w14:textId="77777777" w:rsidR="00320725" w:rsidRPr="00320725" w:rsidRDefault="00320725" w:rsidP="00320725">
    <w:pPr>
      <w:tabs>
        <w:tab w:val="center" w:pos="4677"/>
        <w:tab w:val="right" w:pos="9355"/>
      </w:tabs>
      <w:spacing w:after="0" w:line="240" w:lineRule="auto"/>
      <w:ind w:left="567"/>
      <w:rPr>
        <w:color w:val="0000FF"/>
        <w:u w:val="single"/>
      </w:rPr>
    </w:pPr>
  </w:p>
  <w:p w14:paraId="63242406" w14:textId="77777777" w:rsidR="00320725" w:rsidRDefault="00667622" w:rsidP="00320725">
    <w:pPr>
      <w:pStyle w:val="a6"/>
    </w:pPr>
    <w:r w:rsidRPr="0032072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0B"/>
    <w:multiLevelType w:val="multilevel"/>
    <w:tmpl w:val="C0DA21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06594"/>
    <w:multiLevelType w:val="hybridMultilevel"/>
    <w:tmpl w:val="422A900E"/>
    <w:lvl w:ilvl="0" w:tplc="B84E313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972EA6"/>
    <w:multiLevelType w:val="hybridMultilevel"/>
    <w:tmpl w:val="A2562808"/>
    <w:lvl w:ilvl="0" w:tplc="B84E31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3758EA"/>
    <w:multiLevelType w:val="multilevel"/>
    <w:tmpl w:val="B9E05B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AB69BB"/>
    <w:multiLevelType w:val="hybridMultilevel"/>
    <w:tmpl w:val="FB4894D8"/>
    <w:lvl w:ilvl="0" w:tplc="8130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916893"/>
    <w:multiLevelType w:val="hybridMultilevel"/>
    <w:tmpl w:val="D7F6A5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80A173D"/>
    <w:multiLevelType w:val="multilevel"/>
    <w:tmpl w:val="42CE2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0F656C"/>
    <w:multiLevelType w:val="multilevel"/>
    <w:tmpl w:val="04D0F24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7" w:hanging="2160"/>
      </w:pPr>
      <w:rPr>
        <w:rFonts w:hint="default"/>
      </w:rPr>
    </w:lvl>
  </w:abstractNum>
  <w:abstractNum w:abstractNumId="8" w15:restartNumberingAfterBreak="0">
    <w:nsid w:val="40694558"/>
    <w:multiLevelType w:val="hybridMultilevel"/>
    <w:tmpl w:val="5DE69964"/>
    <w:lvl w:ilvl="0" w:tplc="DFA0BB8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05351"/>
    <w:multiLevelType w:val="hybridMultilevel"/>
    <w:tmpl w:val="25A49104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71A1"/>
    <w:multiLevelType w:val="multilevel"/>
    <w:tmpl w:val="2B469E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5E1849"/>
    <w:multiLevelType w:val="hybridMultilevel"/>
    <w:tmpl w:val="44E0ADE0"/>
    <w:lvl w:ilvl="0" w:tplc="1322666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B147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1463AA"/>
    <w:multiLevelType w:val="multilevel"/>
    <w:tmpl w:val="91DC409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7E8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CE4E5A"/>
    <w:multiLevelType w:val="hybridMultilevel"/>
    <w:tmpl w:val="D7F6A5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6334A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3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65"/>
    <w:rsid w:val="000432FB"/>
    <w:rsid w:val="00046369"/>
    <w:rsid w:val="00080BE7"/>
    <w:rsid w:val="00082B4E"/>
    <w:rsid w:val="00087825"/>
    <w:rsid w:val="00096C32"/>
    <w:rsid w:val="000A4855"/>
    <w:rsid w:val="000F3A6B"/>
    <w:rsid w:val="000F5FA8"/>
    <w:rsid w:val="000F7EAE"/>
    <w:rsid w:val="00100F8C"/>
    <w:rsid w:val="001013F8"/>
    <w:rsid w:val="00110330"/>
    <w:rsid w:val="00114A0C"/>
    <w:rsid w:val="00122A8B"/>
    <w:rsid w:val="0017216C"/>
    <w:rsid w:val="00172D4F"/>
    <w:rsid w:val="001A481E"/>
    <w:rsid w:val="001D77C5"/>
    <w:rsid w:val="001E376E"/>
    <w:rsid w:val="00211343"/>
    <w:rsid w:val="0021389F"/>
    <w:rsid w:val="00223F6C"/>
    <w:rsid w:val="00232114"/>
    <w:rsid w:val="0023709B"/>
    <w:rsid w:val="002374D3"/>
    <w:rsid w:val="0024151D"/>
    <w:rsid w:val="002415AD"/>
    <w:rsid w:val="00250243"/>
    <w:rsid w:val="00257DE2"/>
    <w:rsid w:val="00263770"/>
    <w:rsid w:val="002F7BFC"/>
    <w:rsid w:val="00304984"/>
    <w:rsid w:val="00320725"/>
    <w:rsid w:val="00333D9D"/>
    <w:rsid w:val="00351DD9"/>
    <w:rsid w:val="00360237"/>
    <w:rsid w:val="00375F61"/>
    <w:rsid w:val="00384881"/>
    <w:rsid w:val="00392133"/>
    <w:rsid w:val="00397DC7"/>
    <w:rsid w:val="003B3F78"/>
    <w:rsid w:val="003B6153"/>
    <w:rsid w:val="003C3622"/>
    <w:rsid w:val="00434665"/>
    <w:rsid w:val="00450534"/>
    <w:rsid w:val="00453F19"/>
    <w:rsid w:val="0047021D"/>
    <w:rsid w:val="004970D5"/>
    <w:rsid w:val="004A4AAA"/>
    <w:rsid w:val="004A5C2E"/>
    <w:rsid w:val="004B209D"/>
    <w:rsid w:val="004D7C43"/>
    <w:rsid w:val="004F66BC"/>
    <w:rsid w:val="005056CA"/>
    <w:rsid w:val="005238D0"/>
    <w:rsid w:val="005309ED"/>
    <w:rsid w:val="0055487F"/>
    <w:rsid w:val="00580C2A"/>
    <w:rsid w:val="005847D5"/>
    <w:rsid w:val="00584851"/>
    <w:rsid w:val="00585D21"/>
    <w:rsid w:val="005B70B5"/>
    <w:rsid w:val="005C0F50"/>
    <w:rsid w:val="005E6368"/>
    <w:rsid w:val="00611E30"/>
    <w:rsid w:val="00617209"/>
    <w:rsid w:val="00650CEA"/>
    <w:rsid w:val="006525ED"/>
    <w:rsid w:val="00657E3A"/>
    <w:rsid w:val="006623A1"/>
    <w:rsid w:val="00667622"/>
    <w:rsid w:val="00667BFB"/>
    <w:rsid w:val="00707762"/>
    <w:rsid w:val="00731385"/>
    <w:rsid w:val="007353E0"/>
    <w:rsid w:val="00760C69"/>
    <w:rsid w:val="00780443"/>
    <w:rsid w:val="00781E2D"/>
    <w:rsid w:val="00794ED4"/>
    <w:rsid w:val="007B5507"/>
    <w:rsid w:val="007B6107"/>
    <w:rsid w:val="007B78DF"/>
    <w:rsid w:val="007C661F"/>
    <w:rsid w:val="007D63E4"/>
    <w:rsid w:val="007E7D09"/>
    <w:rsid w:val="0083796A"/>
    <w:rsid w:val="008530AF"/>
    <w:rsid w:val="00855E8E"/>
    <w:rsid w:val="00862268"/>
    <w:rsid w:val="00874A7F"/>
    <w:rsid w:val="00892353"/>
    <w:rsid w:val="008A78BA"/>
    <w:rsid w:val="00944393"/>
    <w:rsid w:val="009A4704"/>
    <w:rsid w:val="009C09EA"/>
    <w:rsid w:val="009F5DED"/>
    <w:rsid w:val="009F7527"/>
    <w:rsid w:val="00A00263"/>
    <w:rsid w:val="00A11593"/>
    <w:rsid w:val="00A16210"/>
    <w:rsid w:val="00A62C94"/>
    <w:rsid w:val="00A95621"/>
    <w:rsid w:val="00A95E21"/>
    <w:rsid w:val="00AA29AB"/>
    <w:rsid w:val="00AB7610"/>
    <w:rsid w:val="00AD0D11"/>
    <w:rsid w:val="00AD28AD"/>
    <w:rsid w:val="00AD7EE1"/>
    <w:rsid w:val="00B1163B"/>
    <w:rsid w:val="00B16FBC"/>
    <w:rsid w:val="00B274AD"/>
    <w:rsid w:val="00B66FCC"/>
    <w:rsid w:val="00B82341"/>
    <w:rsid w:val="00B833A6"/>
    <w:rsid w:val="00BF1E7B"/>
    <w:rsid w:val="00C01209"/>
    <w:rsid w:val="00C03E4D"/>
    <w:rsid w:val="00C26C2D"/>
    <w:rsid w:val="00C33DD1"/>
    <w:rsid w:val="00C348DE"/>
    <w:rsid w:val="00C36577"/>
    <w:rsid w:val="00C37579"/>
    <w:rsid w:val="00C40426"/>
    <w:rsid w:val="00C46186"/>
    <w:rsid w:val="00C541C8"/>
    <w:rsid w:val="00C75DA1"/>
    <w:rsid w:val="00C80B31"/>
    <w:rsid w:val="00C81EED"/>
    <w:rsid w:val="00C839B4"/>
    <w:rsid w:val="00C84C64"/>
    <w:rsid w:val="00C938E8"/>
    <w:rsid w:val="00CB24E2"/>
    <w:rsid w:val="00CD1D58"/>
    <w:rsid w:val="00CE3300"/>
    <w:rsid w:val="00D1625A"/>
    <w:rsid w:val="00D272B2"/>
    <w:rsid w:val="00D3755B"/>
    <w:rsid w:val="00D37D00"/>
    <w:rsid w:val="00D7328B"/>
    <w:rsid w:val="00D84C6B"/>
    <w:rsid w:val="00D90D40"/>
    <w:rsid w:val="00DB026C"/>
    <w:rsid w:val="00DE25CF"/>
    <w:rsid w:val="00E16595"/>
    <w:rsid w:val="00E278DD"/>
    <w:rsid w:val="00E40FAC"/>
    <w:rsid w:val="00E47F07"/>
    <w:rsid w:val="00E5133E"/>
    <w:rsid w:val="00E5754F"/>
    <w:rsid w:val="00E63DAE"/>
    <w:rsid w:val="00E7285E"/>
    <w:rsid w:val="00E766E6"/>
    <w:rsid w:val="00E77F1D"/>
    <w:rsid w:val="00E857D2"/>
    <w:rsid w:val="00EF27C6"/>
    <w:rsid w:val="00F0695E"/>
    <w:rsid w:val="00F1292A"/>
    <w:rsid w:val="00F23FDF"/>
    <w:rsid w:val="00F24277"/>
    <w:rsid w:val="00F31392"/>
    <w:rsid w:val="00F4268C"/>
    <w:rsid w:val="00F43004"/>
    <w:rsid w:val="00F43DC6"/>
    <w:rsid w:val="00F617B0"/>
    <w:rsid w:val="00F71E0B"/>
    <w:rsid w:val="00FB4DDA"/>
    <w:rsid w:val="00FC16D5"/>
    <w:rsid w:val="00FC44DF"/>
    <w:rsid w:val="00FC4EB2"/>
    <w:rsid w:val="00FE1114"/>
    <w:rsid w:val="00FE1148"/>
    <w:rsid w:val="00FE575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4A3BE"/>
  <w15:docId w15:val="{00EC0B10-F088-4DE9-9601-6BB24B92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072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6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63770"/>
    <w:pPr>
      <w:spacing w:after="0" w:line="240" w:lineRule="auto"/>
    </w:pPr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263770"/>
    <w:rPr>
      <w:rFonts w:ascii="Lucida Grande CY" w:eastAsia="Cambria" w:hAnsi="Lucida Grande CY" w:cs="Lucida Grande CY"/>
      <w:lang w:eastAsia="en-US"/>
    </w:rPr>
  </w:style>
  <w:style w:type="paragraph" w:styleId="a6">
    <w:name w:val="header"/>
    <w:basedOn w:val="a"/>
    <w:link w:val="a7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0A4855"/>
    <w:rPr>
      <w:rFonts w:ascii="Cambria" w:eastAsia="Cambria" w:hAnsi="Cambria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0A4855"/>
    <w:rPr>
      <w:rFonts w:ascii="Cambria" w:eastAsia="Cambria" w:hAnsi="Cambria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096C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6C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96C32"/>
    <w:rPr>
      <w:rFonts w:ascii="Cambria" w:eastAsia="Cambria" w:hAnsi="Cambria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6C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96C32"/>
    <w:rPr>
      <w:rFonts w:ascii="Cambria" w:eastAsia="Cambria" w:hAnsi="Cambria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96C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96C32"/>
    <w:rPr>
      <w:rFonts w:ascii="Tahoma" w:eastAsia="Cambria" w:hAnsi="Tahoma" w:cs="Tahoma"/>
      <w:sz w:val="16"/>
      <w:szCs w:val="16"/>
      <w:lang w:eastAsia="en-US"/>
    </w:rPr>
  </w:style>
  <w:style w:type="character" w:styleId="af1">
    <w:name w:val="Hyperlink"/>
    <w:uiPriority w:val="99"/>
    <w:unhideWhenUsed/>
    <w:rsid w:val="00E63DAE"/>
    <w:rPr>
      <w:color w:val="0000FF"/>
      <w:u w:val="single"/>
    </w:rPr>
  </w:style>
  <w:style w:type="paragraph" w:styleId="af2">
    <w:name w:val="Body Text"/>
    <w:basedOn w:val="a"/>
    <w:link w:val="af3"/>
    <w:uiPriority w:val="1"/>
    <w:semiHidden/>
    <w:unhideWhenUsed/>
    <w:qFormat/>
    <w:rsid w:val="00781E2D"/>
    <w:pPr>
      <w:widowControl w:val="0"/>
      <w:autoSpaceDE w:val="0"/>
      <w:autoSpaceDN w:val="0"/>
      <w:adjustRightInd w:val="0"/>
      <w:spacing w:after="0" w:line="240" w:lineRule="auto"/>
      <w:ind w:left="1170" w:hanging="36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81E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pk.vcot.info/images/spk_logo.png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spk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Links>
    <vt:vector size="18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http://spk.vcot.info/</vt:lpwstr>
      </vt:variant>
      <vt:variant>
        <vt:lpwstr/>
      </vt:variant>
      <vt:variant>
        <vt:i4>327759</vt:i4>
      </vt:variant>
      <vt:variant>
        <vt:i4>-1</vt:i4>
      </vt:variant>
      <vt:variant>
        <vt:i4>2050</vt:i4>
      </vt:variant>
      <vt:variant>
        <vt:i4>4</vt:i4>
      </vt:variant>
      <vt:variant>
        <vt:lpwstr>http://spk.vcot.info/</vt:lpwstr>
      </vt:variant>
      <vt:variant>
        <vt:lpwstr/>
      </vt:variant>
      <vt:variant>
        <vt:i4>8323146</vt:i4>
      </vt:variant>
      <vt:variant>
        <vt:i4>-1</vt:i4>
      </vt:variant>
      <vt:variant>
        <vt:i4>2050</vt:i4>
      </vt:variant>
      <vt:variant>
        <vt:i4>1</vt:i4>
      </vt:variant>
      <vt:variant>
        <vt:lpwstr>http://spk.vcot.info/images/spk_logo.png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Виктория Е. Рябова</cp:lastModifiedBy>
  <cp:revision>2</cp:revision>
  <cp:lastPrinted>2018-06-05T13:40:00Z</cp:lastPrinted>
  <dcterms:created xsi:type="dcterms:W3CDTF">2019-09-04T15:02:00Z</dcterms:created>
  <dcterms:modified xsi:type="dcterms:W3CDTF">2019-09-04T15:02:00Z</dcterms:modified>
</cp:coreProperties>
</file>