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FF0000"/>
          <w:sz w:val="28"/>
          <w:szCs w:val="28"/>
        </w:rPr>
        <w:t xml:space="preserve">ПРОЕКТ 10 08 2026 </w:t>
      </w:r>
    </w:p>
    <w:tbl>
      <w:tblPr>
        <w:tblStyle w:val="a9"/>
        <w:tblW w:w="9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01"/>
        <w:gridCol w:w="2128"/>
        <w:gridCol w:w="3685"/>
      </w:tblGrid>
      <w:tr>
        <w:trPr/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СОГЛАСОВАНО: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Генеральный директор ФГБУ «ВНИИ труда» Минтруда России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________ В.М. Смирнов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УТВЕРЖДЕНО: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 заседании СПК СТС (Протокол № _____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 «___»_______ 20___ г.)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ПОЛОЖЕНИЕ 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36305886"/>
      <w:r>
        <w:rPr>
          <w:rFonts w:cs="Times New Roman" w:ascii="Times New Roman" w:hAnsi="Times New Roman"/>
          <w:b/>
          <w:bCs/>
          <w:sz w:val="28"/>
          <w:szCs w:val="28"/>
        </w:rPr>
        <w:t>о Квалификационной комиссии СПК СТС по рассмотрению обращений соискателей о присуждении профессиональных степеней: «Мастер практики», «Доктор практики» по соответствующим видам профессиональной деятельности</w:t>
      </w:r>
      <w:bookmarkEnd w:id="0"/>
    </w:p>
    <w:sdt>
      <w:sdtPr>
        <w:docPartObj>
          <w:docPartGallery w:val="Table of Contents"/>
          <w:docPartUnique w:val="true"/>
        </w:docPartObj>
        <w:id w:val="230738063"/>
      </w:sdtPr>
      <w:sdtContent>
        <w:p>
          <w:pPr>
            <w:pStyle w:val="TOCHeading"/>
            <w:ind w:hanging="0" w:left="0"/>
            <w:rPr>
              <w:b/>
              <w:bCs/>
            </w:rPr>
          </w:pPr>
          <w:r>
            <w:rPr>
              <w:b/>
              <w:bCs/>
            </w:rPr>
            <w:t>Оглавление</w:t>
          </w:r>
        </w:p>
        <w:p>
          <w:pPr>
            <w:pStyle w:val="TOC1"/>
            <w:rPr/>
          </w:pPr>
          <w:bookmarkStart w:id="1" w:name="_Hlk236221112"/>
          <w:r>
            <w:rPr>
              <w:lang w:val="en-US"/>
            </w:rPr>
            <w:t>I</w:t>
          </w:r>
          <w:r>
            <w:rPr/>
            <w:t xml:space="preserve"> Общие положения</w:t>
            <w:tab/>
            <w:t>2</w:t>
          </w:r>
        </w:p>
        <w:p>
          <w:pPr>
            <w:pStyle w:val="TOC1"/>
            <w:rPr/>
          </w:pPr>
          <w:bookmarkStart w:id="2" w:name="_Hlk236227137"/>
          <w:r>
            <w:rPr>
              <w:lang w:val="en-US"/>
            </w:rPr>
            <w:t>II</w:t>
          </w:r>
          <w:r>
            <w:rPr/>
            <w:t xml:space="preserve"> Профессиональные степени</w:t>
            <w:tab/>
            <w:t>3</w:t>
          </w:r>
          <w:bookmarkEnd w:id="1"/>
        </w:p>
        <w:p>
          <w:pPr>
            <w:pStyle w:val="TOC1"/>
            <w:rPr/>
          </w:pPr>
          <w:r>
            <w:rPr>
              <w:lang w:val="en-US"/>
            </w:rPr>
            <w:t>III</w:t>
          </w:r>
          <w:r>
            <w:rPr/>
            <w:t xml:space="preserve"> Порядок создания квалификационной комиссии и требования к ее членам</w:t>
            <w:tab/>
            <w:t>5</w:t>
          </w:r>
        </w:p>
        <w:p>
          <w:pPr>
            <w:pStyle w:val="TOC1"/>
            <w:rPr/>
          </w:pPr>
          <w:r>
            <w:rPr>
              <w:lang w:val="en-US"/>
            </w:rPr>
            <w:t>IV</w:t>
          </w:r>
          <w:r>
            <w:rPr/>
            <w:t xml:space="preserve"> Организация работы квалификационной комиссии</w:t>
            <w:tab/>
          </w:r>
          <w:bookmarkEnd w:id="2"/>
          <w:r>
            <w:rPr/>
            <w:t>7</w:t>
          </w:r>
        </w:p>
        <w:p>
          <w:pPr>
            <w:pStyle w:val="TOC1"/>
            <w:rPr/>
          </w:pPr>
          <w:r>
            <w:rPr>
              <w:lang w:val="en-US"/>
            </w:rPr>
            <w:t>V</w:t>
          </w:r>
          <w:r>
            <w:rPr/>
            <w:t xml:space="preserve"> Требования к квалификационной работе</w:t>
            <w:tab/>
            <w:t>8</w:t>
          </w:r>
        </w:p>
        <w:p>
          <w:pPr>
            <w:pStyle w:val="TOC1"/>
            <w:rPr/>
          </w:pPr>
          <w:r>
            <w:rPr>
              <w:lang w:val="en-US"/>
            </w:rPr>
            <w:t>VI</w:t>
          </w:r>
          <w:r>
            <w:rPr/>
            <w:t xml:space="preserve"> Порядок рассмотрения квалификационных работ</w:t>
            <w:tab/>
            <w:t>12</w:t>
          </w:r>
        </w:p>
        <w:p>
          <w:pPr>
            <w:pStyle w:val="Normal"/>
            <w:rPr>
              <w:b/>
              <w:bCs/>
            </w:rPr>
          </w:pPr>
          <w:r>
            <w:rPr>
              <w:b/>
              <w:bCs/>
              <w:lang w:val="en-US"/>
            </w:rPr>
            <w:t>VII</w:t>
          </w:r>
          <w:r>
            <w:rPr>
              <w:b/>
              <w:bCs/>
            </w:rPr>
            <w:t xml:space="preserve"> Порядок присвоения званий</w:t>
            <w:tab/>
            <w:t>14</w:t>
          </w:r>
        </w:p>
        <w:p>
          <w:pPr>
            <w:pStyle w:val="Normal"/>
            <w:rPr>
              <w:lang w:eastAsia="ru-RU"/>
            </w:rPr>
          </w:pPr>
          <w:r>
            <w:rPr>
              <w:b/>
              <w:bCs/>
              <w:lang w:val="en-US"/>
            </w:rPr>
            <w:t>VIII</w:t>
          </w:r>
          <w:r>
            <w:rPr>
              <w:b/>
              <w:bCs/>
            </w:rPr>
            <w:t xml:space="preserve"> Апелляция и пересмотр</w:t>
            <w:tab/>
            <w:t>15</w:t>
          </w:r>
        </w:p>
        <w:p>
          <w:pPr>
            <w:pStyle w:val="Normal"/>
            <w:rPr>
              <w:lang w:eastAsia="ru-RU"/>
            </w:rPr>
          </w:pPr>
          <w:r>
            <w:rPr>
              <w:b/>
              <w:bCs/>
              <w:lang w:val="en-US"/>
            </w:rPr>
            <w:t>IX</w:t>
          </w:r>
          <w:r>
            <w:rPr>
              <w:b/>
              <w:bCs/>
            </w:rPr>
            <w:t xml:space="preserve"> Приложения</w:t>
            <w:tab/>
            <w:t>16</w:t>
          </w:r>
        </w:p>
        <w:p>
          <w:pPr>
            <w:pStyle w:val="Normal"/>
            <w:rPr>
              <w:lang w:eastAsia="ru-RU"/>
            </w:rPr>
          </w:pPr>
          <w:r>
            <w:rPr>
              <w:lang w:eastAsia="ru-RU"/>
            </w:rPr>
          </w:r>
        </w:p>
      </w:sdtContent>
    </w:sdt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Положение разработано в соответствии с Трудовым кодексом Российской Федерации от 30 декабря 2001 г. N 197-ФЗ (ТК РФ), Федеральным законом от 3 июля 2016 г. № 238-ФЗ "О независимой оценке квалификации", профессиональными стандартами закрепленными за СПК СТС, Положением о Совете по профессиональным квалификациям в сфере безопасности труда, социальной защиты и занятости населения (утв. Протоколом № 4 от 8.11.2018 г.), </w:t>
      </w:r>
      <w:bookmarkStart w:id="3" w:name="_Hlk236230024"/>
      <w:r>
        <w:rPr>
          <w:rFonts w:cs="Times New Roman" w:ascii="Times New Roman" w:hAnsi="Times New Roman"/>
          <w:sz w:val="28"/>
          <w:szCs w:val="28"/>
        </w:rPr>
        <w:t>Положением о реализации пилотного проекта по внедрению в Российской Федерации Института профессиональных степеней (утв. Национальным советом при Президенте Российской Федерации по профессиональным квалификациям – протокол №100 от 17.06.2026 года).</w:t>
      </w:r>
      <w:bookmarkEnd w:id="3"/>
    </w:p>
    <w:p>
      <w:pPr>
        <w:pStyle w:val="Heading3"/>
        <w:numPr>
          <w:ilvl w:val="2"/>
          <w:numId w:val="1"/>
        </w:numPr>
        <w:spacing w:lineRule="auto" w:line="276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 xml:space="preserve"> </w:t>
      </w:r>
      <w:bookmarkStart w:id="4" w:name="_Hlk236221058"/>
      <w:r>
        <w:rPr>
          <w:rFonts w:cs="Times New Roman" w:ascii="Times New Roman" w:hAnsi="Times New Roman"/>
          <w:b/>
          <w:bCs/>
          <w:sz w:val="32"/>
          <w:szCs w:val="32"/>
          <w:lang w:val="en-US"/>
        </w:rPr>
        <w:t xml:space="preserve">I </w:t>
      </w:r>
      <w:r>
        <w:rPr>
          <w:rFonts w:cs="Times New Roman" w:ascii="Times New Roman" w:hAnsi="Times New Roman"/>
          <w:b/>
          <w:bCs/>
          <w:sz w:val="32"/>
          <w:szCs w:val="32"/>
        </w:rPr>
        <w:t>Общие положения</w:t>
      </w:r>
      <w:bookmarkEnd w:id="4"/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Настоящее Положение устанавливает порядок присвоения профессиональных степеней «Мастер практики» и «Доктор практики» по профессиональным направлениям деятельности в областях, закреплённых за Советом по профессиональным квалификациям в сфере безопасности труда, социальной защиты и занятости населения (далее – Совет, СПК СТС).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Документ определяет: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* процедуру создания, численный и персональный состав квалификационной комиссии;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* порядок назначения председателя и организации работы квалификационной комиссии;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* круг обязанностей и полномочий членов комиссии;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* формальные и содержательные требования к квалификационным работам соискателей;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* финансовую модель, обеспечивающую деятельность комиссий </w:t>
      </w:r>
      <w:r>
        <w:rPr>
          <w:rFonts w:cs="Times New Roman" w:ascii="Times New Roman" w:hAnsi="Times New Roman"/>
          <w:i/>
          <w:iCs/>
          <w:sz w:val="28"/>
          <w:szCs w:val="28"/>
        </w:rPr>
        <w:t>(в разработке)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Цели введения профессиональных степеней: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Формирование корпуса отраслевых экспертов: создание пула ведущих специалистов-практиков для наставничества и передачи уникальных компетенций.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Повышение престижа профессий: признание ценности практического опыта и создание прозрачного карьерного лифта для мастеров своего дела.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Развитие альтернативных траекторий роста: построение системы профессионального и должностного продвижения, независимой от традиционного академического образования.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Стандартизация передового опыта: выявление, формализация и тиражирование лучших практик высококвалифицированной деятельности в отрасли.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Укрепление авторитета профессионального сообщества: повышение статуса и значимости профессий, входящих в сферу полномочий СПК СТС.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Действие настоящего Положения распространяется на граждан Российской Федерации — физических лиц. В случаях, предусмотренных СПК СТС, Положение также применяется к иным категориям физических лиц.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Heading3"/>
        <w:numPr>
          <w:ilvl w:val="2"/>
          <w:numId w:val="1"/>
        </w:numPr>
        <w:spacing w:lineRule="auto" w:line="276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  <w:lang w:val="en-US"/>
        </w:rPr>
        <w:t xml:space="preserve">II </w:t>
      </w:r>
      <w:r>
        <w:rPr>
          <w:rFonts w:cs="Times New Roman" w:ascii="Times New Roman" w:hAnsi="Times New Roman"/>
          <w:b/>
          <w:bCs/>
          <w:sz w:val="32"/>
          <w:szCs w:val="32"/>
        </w:rPr>
        <w:t>Профессиональные степени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i/>
          <w:i/>
          <w:iCs/>
          <w:sz w:val="28"/>
          <w:szCs w:val="28"/>
          <w:u w:val="single"/>
        </w:rPr>
      </w:pPr>
      <w:r>
        <w:rPr>
          <w:rFonts w:cs="Times New Roman" w:ascii="Times New Roman" w:hAnsi="Times New Roman"/>
          <w:i/>
          <w:iCs/>
          <w:sz w:val="28"/>
          <w:szCs w:val="28"/>
          <w:u w:val="single"/>
        </w:rPr>
        <w:t>Степень «Мастер практики»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Подтверждает способность решать сложные практические задачи и внедрять инновации.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Требования к соискателю:</w:t>
      </w:r>
    </w:p>
    <w:p>
      <w:pPr>
        <w:pStyle w:val="ListParagraph"/>
        <w:numPr>
          <w:ilvl w:val="0"/>
          <w:numId w:val="5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общий стаж работы в отрасли — не менее 10 лет;</w:t>
      </w:r>
    </w:p>
    <w:p>
      <w:pPr>
        <w:pStyle w:val="ListParagraph"/>
        <w:numPr>
          <w:ilvl w:val="0"/>
          <w:numId w:val="5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стаж на руководящих должностях или позициях ведущего специалиста — от 5 лет;</w:t>
      </w:r>
    </w:p>
    <w:p>
      <w:pPr>
        <w:pStyle w:val="ListParagraph"/>
        <w:numPr>
          <w:ilvl w:val="0"/>
          <w:numId w:val="5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наличие реализованных проектов по производственной (отраслевой) деятельности развитие форм стажировки и наставничества;</w:t>
      </w:r>
    </w:p>
    <w:p>
      <w:pPr>
        <w:pStyle w:val="ListParagraph"/>
        <w:numPr>
          <w:ilvl w:val="0"/>
          <w:numId w:val="5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36908554"/>
      <w:r>
        <w:rPr>
          <w:rFonts w:cs="Times New Roman" w:ascii="Times New Roman" w:hAnsi="Times New Roman"/>
          <w:sz w:val="28"/>
          <w:szCs w:val="28"/>
        </w:rPr>
        <w:t>наличие свидетельства по соответствующей квалификации;</w:t>
      </w:r>
      <w:bookmarkEnd w:id="5"/>
    </w:p>
    <w:p>
      <w:pPr>
        <w:pStyle w:val="ListParagraph"/>
        <w:numPr>
          <w:ilvl w:val="0"/>
          <w:numId w:val="5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отсутствие дисциплинарных взысканий за последние 3 года.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Права обладателя профессиональной степени «Мастер практики»:</w:t>
      </w:r>
    </w:p>
    <w:p>
      <w:pPr>
        <w:pStyle w:val="ListParagraph"/>
        <w:numPr>
          <w:ilvl w:val="0"/>
          <w:numId w:val="6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Руководство проектами любой сложности</w:t>
      </w:r>
    </w:p>
    <w:p>
      <w:pPr>
        <w:pStyle w:val="ListParagraph"/>
        <w:numPr>
          <w:ilvl w:val="0"/>
          <w:numId w:val="6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Проведение внутреннего аудита систем управления</w:t>
      </w:r>
    </w:p>
    <w:p>
      <w:pPr>
        <w:pStyle w:val="ListParagraph"/>
        <w:numPr>
          <w:ilvl w:val="0"/>
          <w:numId w:val="6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Наставничество над специалистами до уровня главного эксперта</w:t>
      </w:r>
    </w:p>
    <w:p>
      <w:pPr>
        <w:pStyle w:val="ListParagraph"/>
        <w:numPr>
          <w:ilvl w:val="0"/>
          <w:numId w:val="6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Участие в работе квалификационных (аттестационных) комиссий </w:t>
      </w:r>
    </w:p>
    <w:p>
      <w:pPr>
        <w:pStyle w:val="ListParagraph"/>
        <w:numPr>
          <w:ilvl w:val="0"/>
          <w:numId w:val="6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236303524"/>
      <w:r>
        <w:rPr>
          <w:rFonts w:cs="Times New Roman" w:ascii="Times New Roman" w:hAnsi="Times New Roman"/>
          <w:sz w:val="28"/>
          <w:szCs w:val="28"/>
        </w:rPr>
        <w:t>Использование наименования профессиональной степени и знака в личных публикациях, отзывах, презентациях и других формах информации</w:t>
      </w:r>
      <w:bookmarkEnd w:id="6"/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i/>
          <w:i/>
          <w:iCs/>
          <w:sz w:val="28"/>
          <w:szCs w:val="28"/>
          <w:u w:val="single"/>
        </w:rPr>
      </w:pPr>
      <w:r>
        <w:rPr>
          <w:rFonts w:cs="Times New Roman" w:ascii="Times New Roman" w:hAnsi="Times New Roman"/>
          <w:i/>
          <w:iCs/>
          <w:sz w:val="28"/>
          <w:szCs w:val="28"/>
          <w:u w:val="single"/>
        </w:rPr>
        <w:t>Степень «Доктор практики»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Признание выдающегося вклада в развитие отрасли, создание новых знаний и практик.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Требования к соискателю:</w:t>
      </w:r>
    </w:p>
    <w:p>
      <w:pPr>
        <w:pStyle w:val="ListParagraph"/>
        <w:numPr>
          <w:ilvl w:val="0"/>
          <w:numId w:val="3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общий стаж работы — не менее 15 лет;</w:t>
      </w:r>
    </w:p>
    <w:p>
      <w:pPr>
        <w:pStyle w:val="ListParagraph"/>
        <w:numPr>
          <w:ilvl w:val="0"/>
          <w:numId w:val="3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опыт разработки и внедрения отраслевых стандартов/методик — минимум 5 лет;</w:t>
      </w:r>
    </w:p>
    <w:p>
      <w:pPr>
        <w:pStyle w:val="ListParagraph"/>
        <w:numPr>
          <w:ilvl w:val="0"/>
          <w:numId w:val="3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наличие авторского методического пособия или патента;</w:t>
      </w:r>
    </w:p>
    <w:p>
      <w:pPr>
        <w:pStyle w:val="ListParagraph"/>
        <w:numPr>
          <w:ilvl w:val="0"/>
          <w:numId w:val="3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выступления на профильных конференциях (минимум 5 за последние 3 года);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наличие свидетельства по соответствующей квалификации;</w:t>
      </w:r>
    </w:p>
    <w:p>
      <w:pPr>
        <w:pStyle w:val="ListParagraph"/>
        <w:numPr>
          <w:ilvl w:val="0"/>
          <w:numId w:val="3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участие в развитии форм стажировки и наставничества в отраслевом разрезе.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Права обладателя профессиональной степени «Доктор практики»: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Председательство в квалификационных комиссиях высшего уровня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Участие в экспертизе нормативных документов федерального уровня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Создание авторских школ и методик обучения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Консультирование государственных органов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Популяризация российской школы экспертизы</w:t>
      </w:r>
    </w:p>
    <w:p>
      <w:pPr>
        <w:pStyle w:val="ListParagraph"/>
        <w:numPr>
          <w:ilvl w:val="0"/>
          <w:numId w:val="4"/>
        </w:numPr>
        <w:spacing w:lineRule="auto" w:line="276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Использование наименования профессиональной степени и знака в личных публикациях, отзывах, презентациях и других формах информации</w:t>
      </w:r>
    </w:p>
    <w:p>
      <w:pPr>
        <w:pStyle w:val="Heading3"/>
        <w:numPr>
          <w:ilvl w:val="2"/>
          <w:numId w:val="1"/>
        </w:numPr>
        <w:spacing w:lineRule="auto" w:line="276" w:before="40" w:after="240"/>
        <w:rPr>
          <w:rFonts w:ascii="Times New Roman" w:hAnsi="Times New Roman" w:cs="Times New Roman"/>
          <w:b/>
          <w:bCs/>
          <w:sz w:val="32"/>
          <w:szCs w:val="32"/>
        </w:rPr>
      </w:pPr>
      <w:bookmarkStart w:id="7" w:name="_Hlk236221142"/>
      <w:r>
        <w:rPr>
          <w:rFonts w:cs="Times New Roman" w:ascii="Times New Roman" w:hAnsi="Times New Roman"/>
          <w:b/>
          <w:bCs/>
          <w:sz w:val="32"/>
          <w:szCs w:val="32"/>
          <w:lang w:val="en-US"/>
        </w:rPr>
        <w:t>III</w:t>
      </w:r>
      <w:r>
        <w:rPr>
          <w:rFonts w:cs="Times New Roman" w:ascii="Times New Roman" w:hAnsi="Times New Roman"/>
          <w:b/>
          <w:bCs/>
          <w:sz w:val="32"/>
          <w:szCs w:val="32"/>
        </w:rPr>
        <w:t xml:space="preserve"> Порядок создания квалификационной комиссии и требования к ее членам</w:t>
      </w:r>
      <w:bookmarkEnd w:id="7"/>
    </w:p>
    <w:p>
      <w:pPr>
        <w:pStyle w:val="Heading3"/>
        <w:numPr>
          <w:ilvl w:val="0"/>
          <w:numId w:val="0"/>
        </w:numPr>
        <w:ind w:firstLine="709" w:left="0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1. Общие положения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1.1. Квалификационная комиссия (далее — Комиссия) формируется и утверждается СПК СТС.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1.2. Персональный состав Комиссии формируется из числа членов Совета и ведущих экспертов по профессиональным направлениям деятельности в областях, закреплённых за СПК СТС.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 xml:space="preserve">1.3. В Комиссии могут создаваться рабочие группы. 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1.4. Срок полномочий членов Комиссии составляет 3 (три) года.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1.5. Количественный состав Комиссии определяется в количестве 13 (тринадцати) человек.</w:t>
      </w:r>
    </w:p>
    <w:p>
      <w:pPr>
        <w:pStyle w:val="Heading3"/>
        <w:numPr>
          <w:ilvl w:val="2"/>
          <w:numId w:val="1"/>
        </w:numPr>
        <w:spacing w:before="40" w:after="240"/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1.6. При рассмотрении работ на соискание профессиональных степеней «Мастер практики» и «Доктор практики» в заседании Комиссии обязательно участие представителей профильных отраслей экономики в составе не менее 20% от общего числа членов.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2. Требования к председателю Комиссии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Председателем Комиссии может быть назначен кандидат, соответствующий следующим требованиям: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* наличие ученой степени кандидата или доктора наук;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* стаж работы в научной или экспертной деятельности не менее 5 лет;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* подтверждённый опыт участия в работе аналогичных комиссий, советов или коллегий;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* наличие не менее трёх научных публикаций в рецензируемых изданиях за последние 5 лет;</w:t>
      </w:r>
    </w:p>
    <w:p>
      <w:pPr>
        <w:pStyle w:val="Heading3"/>
        <w:numPr>
          <w:ilvl w:val="2"/>
          <w:numId w:val="1"/>
        </w:numPr>
        <w:spacing w:before="40" w:after="240"/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* наличие документов, подтверждающих статус эксперта в соответствующей отрасли.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3. Требования к членам Комиссии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Членом Комиссии может быть назначен специалист, отвечающий следующим критериям: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* общий трудовой стаж по направлению деятельности не менее 10 лет;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* соблюдение графика периодического повышения квалификации в установленном порядке;</w:t>
      </w:r>
    </w:p>
    <w:p>
      <w:pPr>
        <w:pStyle w:val="Heading3"/>
        <w:numPr>
          <w:ilvl w:val="2"/>
          <w:numId w:val="1"/>
        </w:numPr>
        <w:spacing w:before="40" w:after="240"/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* отсутствие личной заинтересованности и конфликта интересов при исполнении обязанностей, что подтверждается письменным заявлением-декларацией.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4. Ограничения для членов Комиссии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В своей деятельности член Комиссии не вправе: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* участвовать в рассмотрении квалификационных работ своих непосредственных учеников и/или подчинённых сотрудников;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* принимать участие в заседаниях при наличии прямого или косвенного финансового интереса в итогах рассмотрения;</w:t>
      </w:r>
    </w:p>
    <w:p>
      <w:pPr>
        <w:pStyle w:val="Heading3"/>
        <w:numPr>
          <w:ilvl w:val="2"/>
          <w:numId w:val="1"/>
        </w:numPr>
        <w:spacing w:before="40" w:after="240"/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* отсутствовать очно более чем на трёх заседаниях подряд без уважительной причины.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5. Рабочие группы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5.1. Для детального рассмотрения квалификационных работ по отдельным видам профессиональной деятельности в рамках полномочий СПК СТС (охрана труда, социальная защита и занятость населения, психологическая поддержка населения (трудовых коллективов), молодёжная политика и др.) могут создаваться рабочие группы.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5.2. В состав рабочей группы включаются члены Комиссии и привлечённые эксперты.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5.3. Численный и качественный состав рабочей группы должен включать:</w:t>
      </w:r>
    </w:p>
    <w:p>
      <w:pPr>
        <w:pStyle w:val="Heading3"/>
        <w:numPr>
          <w:ilvl w:val="2"/>
          <w:numId w:val="1"/>
        </w:numPr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* не менее 4 (четырёх) членов из состава квалификационной комиссии;</w:t>
      </w:r>
    </w:p>
    <w:p>
      <w:pPr>
        <w:pStyle w:val="Heading3"/>
        <w:numPr>
          <w:ilvl w:val="2"/>
          <w:numId w:val="1"/>
        </w:numPr>
        <w:spacing w:before="40" w:after="240"/>
        <w:ind w:firstLine="709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</w:rPr>
        <w:t>* не менее 1 (одного) привлечённого эксперта по соответствующему виду профессиональной деятельности, на соответствие которому рассматривается квалификационная работа.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Heading3"/>
        <w:numPr>
          <w:ilvl w:val="2"/>
          <w:numId w:val="1"/>
        </w:numPr>
        <w:spacing w:lineRule="auto" w:line="276" w:before="0" w:after="24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  <w:lang w:val="en-US"/>
        </w:rPr>
        <w:t>IV</w:t>
      </w:r>
      <w:r>
        <w:rPr>
          <w:rFonts w:cs="Times New Roman" w:ascii="Times New Roman" w:hAnsi="Times New Roman"/>
          <w:b/>
          <w:bCs/>
          <w:sz w:val="32"/>
          <w:szCs w:val="32"/>
        </w:rPr>
        <w:t xml:space="preserve"> Организация работы квалификационной комиссии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Квалификационная комиссия работает в условиях гласности.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Основной формой деятельности квалификационной комиссии являются заседания.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Заседания квалификационной комиссии проводятся под руководством её председателя по мере поступивших обращений для рассмотрения.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Рассмотрение работ, представленных претендентами на присвоение профессиональных степеней (заявителями) и формирование отзывов по ней.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заседании квалификационной комиссии проводится:</w:t>
      </w:r>
    </w:p>
    <w:p>
      <w:pPr>
        <w:pStyle w:val="ListParagraph"/>
        <w:numPr>
          <w:ilvl w:val="0"/>
          <w:numId w:val="2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рассмотрение (защита) не более двух работ на соискание профессиональной степени;</w:t>
      </w:r>
    </w:p>
    <w:p>
      <w:pPr>
        <w:pStyle w:val="ListParagraph"/>
        <w:numPr>
          <w:ilvl w:val="0"/>
          <w:numId w:val="2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рассмотрение отзывов (заключений) на представленные работы;</w:t>
      </w:r>
    </w:p>
    <w:p>
      <w:pPr>
        <w:pStyle w:val="ListParagraph"/>
        <w:numPr>
          <w:ilvl w:val="0"/>
          <w:numId w:val="2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рассмотрение апелляций;</w:t>
      </w:r>
    </w:p>
    <w:p>
      <w:pPr>
        <w:pStyle w:val="ListParagraph"/>
        <w:numPr>
          <w:ilvl w:val="0"/>
          <w:numId w:val="2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подготовка проекта представления о присвоении профессиональной степени в СПК СТС и Национальный совет при Президенте Российской Федерации по профессиональным квалификациям.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Заседание квалификационной комиссии считается правомочным, если в её работе принимает участие не менее 2/3 списочного состава, считая членов комиссии участвующих в дистанционном режиме.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Heading3"/>
        <w:numPr>
          <w:ilvl w:val="2"/>
          <w:numId w:val="1"/>
        </w:numPr>
        <w:spacing w:lineRule="auto" w:line="276" w:before="0" w:after="240"/>
        <w:rPr>
          <w:rFonts w:ascii="Times New Roman" w:hAnsi="Times New Roman" w:cs="Times New Roman"/>
          <w:b/>
          <w:bCs/>
          <w:sz w:val="32"/>
          <w:szCs w:val="32"/>
        </w:rPr>
      </w:pPr>
      <w:bookmarkStart w:id="8" w:name="_Hlk236227116"/>
      <w:bookmarkEnd w:id="8"/>
      <w:r>
        <w:rPr>
          <w:rFonts w:cs="Times New Roman" w:ascii="Times New Roman" w:hAnsi="Times New Roman"/>
          <w:b/>
          <w:bCs/>
          <w:sz w:val="32"/>
          <w:szCs w:val="32"/>
          <w:lang w:val="en-US"/>
        </w:rPr>
        <w:t>V</w:t>
      </w:r>
      <w:r>
        <w:rPr>
          <w:rFonts w:cs="Times New Roman" w:ascii="Times New Roman" w:hAnsi="Times New Roman"/>
          <w:b/>
          <w:bCs/>
          <w:sz w:val="32"/>
          <w:szCs w:val="32"/>
        </w:rPr>
        <w:t xml:space="preserve"> Требования к квалификационной работе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1. Общие принципы структурирования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Независимо от уровня присваиваемой степени, квалификационная работа должна содержать последовательное изложение материала: от постановки задачи и анализа текущей практики до описания внедрённого решения и оценки результатов.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Требования к содержанию дифференцируются в зависимости от целевой степени: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Для присвоения степени «Мастер практики»: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Работа должна демонстрировать проектный подход к совершенствованию действующих производственных, управленческих или социальных процессов на уровне конкретного предприятия (подразделения, трудового коллектива, личности). Основной фокус — достижение измеримого экономического или социального эффекта за счёт оптимизации имеющейся базы, совершенствования методов воздействия на трудовой коллектив (личность).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Для присвоения степени «Доктор практики»: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Работа должна представлять собой обоснование и описание новой методологии, технологии или системы, ранее не существовавших в отрасли. Результаты работы должны быть масштабируемы и применимы другими участниками профессионального сообщества, формируя новые стандарты деятельности.</w:t>
      </w:r>
    </w:p>
    <w:p>
      <w:pPr>
        <w:pStyle w:val="Normal"/>
        <w:spacing w:before="240" w:after="16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2. Требования к квалификационной работе степени «Мастер практики»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Объем и формат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Профессионально-квалификационная работа (ПКР) объемом ориентировочно 40 страниц формата А4. Основной акцент — на описании реального кейса с измеримыми результатами.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Структура ПКР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Анализ профессиональной деятельности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Описание текущей системы («фотография процесса») с детализацией технологических цепочек.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Выявленные риски и неэффективности с обязательной количественной оценкой (потери времени, ресурсов, финансовые издержки).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Описание внедренных улучшений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Разработанные мероприятия: техническое описание изменений, алгоритмы действий.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Результаты внедрения: экономический эффект обязателен (расчет ROI, снижение себестоимости, сокращение брака, других негативных последствий).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Результаты воздействия на формирование личности (коллектива), морально-психологического состояния.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Приводятся исходные данные «до/после».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Масштабируемость и воспроизводимость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Статистика результатов за контрольный период (не менее 6 месяцев).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Оценка возможности тиражирования решения на другие участки/предприятия/фонды/структуры/формирование общественного мнения.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Документационное обеспечение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Акты внедрения предложений с экономическим обоснованием (при наличии).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Инструкции и регламенты собственной разработки.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Программы обучения персонала, чек-листы, шаблоны отчетности.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Подтверждение общественной значимости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Отзывы работодателей, общественных органов, коллег.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Сертификаты, дипломы, публикации в профильных СМИ.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Участие в мероприятиях по популяризации профессии.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Фото- и видеоматериалы до и после внедрения, расчет предотвращенного ущерба (при наличии).</w:t>
      </w:r>
    </w:p>
    <w:p>
      <w:pPr>
        <w:pStyle w:val="Normal"/>
        <w:spacing w:before="240" w:after="16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3. Требования к квалификационной работе степени «Доктор практики»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Объем и формат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Профессионально-квалификационная работа объемом ориентировочно 80 страниц формата А4. Работа носит характер научно-практического исследования с выраженной авторской позицией.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Структурные блоки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Блок I. Научно-практическая составляющая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Теоретическое обоснование: критический анализ существующих подходов, выявление пробелов в знаниях, недостаток информации.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Методология исследования: объект и предмет с четким разграничением, обоснование выбора методов.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Практическая апробация: многоуровневая проверка гипотез на разных объектах (пилотные проекты).</w:t>
      </w:r>
    </w:p>
    <w:p>
      <w:pPr>
        <w:pStyle w:val="Normal"/>
        <w:spacing w:before="240" w:after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Блок II. Инновационная составляющая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Авторские методики, модели, концепции.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Патенты, свидетельства депонирования, цифровые продукты (ПО, базы данных).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Внедрение в масштабах отрасли, изменения в нормативную базу, инициированные автором.</w:t>
      </w:r>
    </w:p>
    <w:p>
      <w:pPr>
        <w:pStyle w:val="Normal"/>
        <w:spacing w:before="240" w:after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Блок III. Социальная и экономическая значимость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Комплексный экономический эффект (прямой и косвенный).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Повышение производительности труда, влияние на систему мотивации (моральные и материальные стимулы).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Социальный резонанс, направленный на создание новых и совершенствование действующих рабочих мест, повышение престижа профессии, формирование здоровых отношений в коллективе, эмоционально-психологического состояния личности, мотивация молодежи к достижению мастерства выбранной профессии.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Обязательные элементы научного аппарата:</w:t>
      </w:r>
    </w:p>
    <w:p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Формулировка конкретного вклада в отрасль (новизна).</w:t>
      </w:r>
    </w:p>
    <w:p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Концептуальная модель: авторская система/модель как ядро работы.</w:t>
      </w:r>
    </w:p>
    <w:p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Доказательная база: статистика, графики, сравнительные таблицы.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4. Сравнительная таблица требований квалификационных работ в зависимости от целевой степени</w:t>
      </w:r>
    </w:p>
    <w:tbl>
      <w:tblPr>
        <w:tblStyle w:val="a9"/>
        <w:tblW w:w="934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63"/>
        <w:gridCol w:w="2972"/>
        <w:gridCol w:w="3410"/>
      </w:tblGrid>
      <w:tr>
        <w:trPr/>
        <w:tc>
          <w:tcPr>
            <w:tcW w:w="29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32"/>
                <w:szCs w:val="32"/>
                <w:lang w:val="ru-RU" w:eastAsia="en-US" w:bidi="ar-SA"/>
              </w:rPr>
              <w:t>Параметр</w:t>
            </w:r>
          </w:p>
        </w:tc>
        <w:tc>
          <w:tcPr>
            <w:tcW w:w="29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32"/>
                <w:szCs w:val="32"/>
                <w:lang w:val="ru-RU" w:eastAsia="en-US" w:bidi="ar-SA"/>
              </w:rPr>
              <w:t>Мастер практики</w:t>
            </w:r>
          </w:p>
        </w:tc>
        <w:tc>
          <w:tcPr>
            <w:tcW w:w="3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32"/>
                <w:szCs w:val="32"/>
                <w:lang w:val="ru-RU" w:eastAsia="en-US" w:bidi="ar-SA"/>
              </w:rPr>
              <w:t>Доктор практики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32"/>
                <w:szCs w:val="32"/>
                <w:lang w:val="ru-RU" w:eastAsia="en-US" w:bidi="ar-SA"/>
              </w:rPr>
            </w:r>
          </w:p>
        </w:tc>
      </w:tr>
      <w:tr>
        <w:trPr/>
        <w:tc>
          <w:tcPr>
            <w:tcW w:w="29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kern w:val="0"/>
                <w:sz w:val="28"/>
                <w:szCs w:val="28"/>
                <w:lang w:val="ru-RU" w:eastAsia="en-US" w:bidi="ar-SA"/>
              </w:rPr>
              <w:t>Основной фокус</w:t>
            </w:r>
          </w:p>
        </w:tc>
        <w:tc>
          <w:tcPr>
            <w:tcW w:w="29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Решение конкретной производственной задачи</w:t>
            </w:r>
          </w:p>
        </w:tc>
        <w:tc>
          <w:tcPr>
            <w:tcW w:w="3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Создание новой парадигмы/методологии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29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kern w:val="0"/>
                <w:sz w:val="28"/>
                <w:szCs w:val="28"/>
                <w:lang w:val="ru-RU" w:eastAsia="en-US" w:bidi="ar-SA"/>
              </w:rPr>
              <w:t>Масштаб</w:t>
            </w:r>
          </w:p>
        </w:tc>
        <w:tc>
          <w:tcPr>
            <w:tcW w:w="29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Локальный (рабочее место, отдел, предприятие)</w:t>
            </w:r>
          </w:p>
        </w:tc>
        <w:tc>
          <w:tcPr>
            <w:tcW w:w="3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Отраслевой / национальный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29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kern w:val="0"/>
                <w:sz w:val="28"/>
                <w:szCs w:val="28"/>
                <w:lang w:val="ru-RU" w:eastAsia="en-US" w:bidi="ar-SA"/>
              </w:rPr>
              <w:t>Доказательная база</w:t>
            </w:r>
          </w:p>
        </w:tc>
        <w:tc>
          <w:tcPr>
            <w:tcW w:w="29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Экономический эффект, акты внедрения</w:t>
            </w:r>
          </w:p>
        </w:tc>
        <w:tc>
          <w:tcPr>
            <w:tcW w:w="3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Научный аппарат, патенты, изменение нормативов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29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kern w:val="0"/>
                <w:sz w:val="28"/>
                <w:szCs w:val="28"/>
                <w:lang w:val="ru-RU" w:eastAsia="en-US" w:bidi="ar-SA"/>
              </w:rPr>
              <w:t>Инновационность</w:t>
            </w:r>
          </w:p>
        </w:tc>
        <w:tc>
          <w:tcPr>
            <w:tcW w:w="29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Улучшение существующего</w:t>
            </w:r>
          </w:p>
        </w:tc>
        <w:tc>
          <w:tcPr>
            <w:tcW w:w="3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Создание нового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29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kern w:val="0"/>
                <w:sz w:val="28"/>
                <w:szCs w:val="28"/>
                <w:lang w:val="ru-RU" w:eastAsia="en-US" w:bidi="ar-SA"/>
              </w:rPr>
              <w:t>Объем работы</w:t>
            </w:r>
          </w:p>
        </w:tc>
        <w:tc>
          <w:tcPr>
            <w:tcW w:w="29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40 стр.</w:t>
            </w:r>
          </w:p>
        </w:tc>
        <w:tc>
          <w:tcPr>
            <w:tcW w:w="3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80 стр.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29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kern w:val="0"/>
                <w:sz w:val="28"/>
                <w:szCs w:val="28"/>
                <w:lang w:val="ru-RU" w:eastAsia="en-US" w:bidi="ar-SA"/>
              </w:rPr>
              <w:t>Ключевой результат</w:t>
            </w:r>
          </w:p>
        </w:tc>
        <w:tc>
          <w:tcPr>
            <w:tcW w:w="29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Тиражируемая методика улучшения</w:t>
            </w:r>
          </w:p>
        </w:tc>
        <w:tc>
          <w:tcPr>
            <w:tcW w:w="3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Новая теория/стандарт/цифровой продукт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pStyle w:val="Normal"/>
        <w:spacing w:before="240" w:after="16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5. Заключительные положения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Присвоение степеней возможно только при наличии документально подтвержденного экономического или социального эффекта (результата). Для «Мастера практики» критерием успеха является эффективность реализованного проекта; для «Доктора практики» — признание созданной им методологии профессиональным сообществом и её интеграция в практику отрасли.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9" w:name="_Hlk236227116"/>
      <w:bookmarkStart w:id="10" w:name="_Hlk236227116"/>
      <w:bookmarkEnd w:id="10"/>
      <w:r>
        <w:br w:type="page"/>
      </w:r>
    </w:p>
    <w:p>
      <w:pPr>
        <w:pStyle w:val="Heading3"/>
        <w:numPr>
          <w:ilvl w:val="2"/>
          <w:numId w:val="1"/>
        </w:numPr>
        <w:spacing w:lineRule="auto" w:line="276" w:before="0" w:after="24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  <w:lang w:val="en-US"/>
        </w:rPr>
        <w:t>VI</w:t>
      </w:r>
      <w:r>
        <w:rPr>
          <w:rFonts w:cs="Times New Roman" w:ascii="Times New Roman" w:hAnsi="Times New Roman"/>
          <w:b/>
          <w:bCs/>
          <w:sz w:val="32"/>
          <w:szCs w:val="32"/>
        </w:rPr>
        <w:t xml:space="preserve"> Порядок рассмотрения квалификационных работ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Этап I: Предзащитная процедура (15 дней)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Регистрация заявки в едином реестре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Проверка комплектности автоматизированной системой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Распределение по рабочим группам Комиссии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Назначение двух первичных рецензентов-антиплагиатчиков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Предварительная экспертиза на соответствие формальным требованиям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Этап II: Углубленная экспертиза (30 дней)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Рецензирование проводится параллельно двумя независимыми экспертами – членами рабочей группы: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Критерии оценки (балльная система):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Практическая значимость (до 30 баллов)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Инновационность подхода (до 25 баллов)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Качество доказательной базы (до 20 баллов)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Оформление и структура (до 15 баллов)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Социально-экономический эффект (до 10 баллов)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Минимальный проходной балл: 70 из 100.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расхождении оценок более чем на 20 баллов назначается третий рецензент.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Этап III: Процедура защиты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Формат гибридный (очно+онлайн трансляция)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Аудио и видео фиксация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Регламент выступления: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Презентация ключевых результатов и демонстрация практических материалов — 25 минут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Ответы на вопросы комиссии — 30 минут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Дискуссия с оппонентами — 15 минут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Особенности публичной части: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Трансляция в открытом доступе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Возможность вопросов от профессионального сообщества онлайн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Запись заседания хранится 5 лет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Этап IV: Принятие решения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Голосование тайное, электронное: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Решение считается принятым при 2/3 голосов «ЗА» от числа присутствующих на заседании членов квалификационной комиссии, в том числе и в дистанционной форме.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Протокол подписывается всеми членами Комиссии присутствующими на заседании в течение 24 (двадцати четырех) часов после его составления. Для членов, участвующих дистанционно, допускается использование электронной подписи или направление скан-копии по официальным каналам связи.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отрицательном решении соответствующая информация доводится до сведения заявителя в письменной форме в течение 15 (пятнадцати) календарных дней со дня принятия решения.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Heading3"/>
        <w:numPr>
          <w:ilvl w:val="2"/>
          <w:numId w:val="1"/>
        </w:numPr>
        <w:spacing w:lineRule="auto" w:line="276" w:before="0" w:after="24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  <w:lang w:val="en-US"/>
        </w:rPr>
        <w:t xml:space="preserve">VII </w:t>
      </w:r>
      <w:r>
        <w:rPr>
          <w:rFonts w:cs="Times New Roman" w:ascii="Times New Roman" w:hAnsi="Times New Roman"/>
          <w:b/>
          <w:bCs/>
          <w:sz w:val="32"/>
          <w:szCs w:val="32"/>
        </w:rPr>
        <w:t>Порядок присвоения званий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Оформление </w:t>
      </w:r>
      <w:bookmarkStart w:id="11" w:name="_Hlk236133378"/>
      <w:r>
        <w:rPr>
          <w:rFonts w:cs="Times New Roman" w:ascii="Times New Roman" w:hAnsi="Times New Roman"/>
          <w:sz w:val="28"/>
          <w:szCs w:val="28"/>
        </w:rPr>
        <w:t xml:space="preserve">заключения квалификационной комиссии </w:t>
      </w:r>
      <w:bookmarkEnd w:id="11"/>
      <w:r>
        <w:rPr>
          <w:rFonts w:cs="Times New Roman" w:ascii="Times New Roman" w:hAnsi="Times New Roman"/>
          <w:sz w:val="28"/>
          <w:szCs w:val="28"/>
        </w:rPr>
        <w:t>в течение 5 (Пяти) рабочих дней.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Рассмотрение заключения квалификационной комиссии на заседании СПК, принятие решения в течении 15 (пятнадцати) рабочих дней.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Формирование решения СПК СТС.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Представление материалов соискателя профессиональной степени в Национальный совет при Президенте Российской Федерации по профессиональным квалификациям в течении 10 (десяти) рабочих дней, с момента принятие решения на заседании СПК СТС о присвоении профессиональной степени.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Выдача удостоверения и знака установленного образца.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Внесение в реестр профессиональных степеней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Публикация информации на официальном ресурсе ведомства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Heading3"/>
        <w:numPr>
          <w:ilvl w:val="2"/>
          <w:numId w:val="1"/>
        </w:numPr>
        <w:spacing w:lineRule="auto" w:line="276" w:before="0"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  <w:lang w:val="en-US"/>
        </w:rPr>
        <w:t xml:space="preserve">VIII </w:t>
      </w:r>
      <w:r>
        <w:rPr>
          <w:rFonts w:cs="Times New Roman" w:ascii="Times New Roman" w:hAnsi="Times New Roman"/>
          <w:b/>
          <w:bCs/>
          <w:sz w:val="32"/>
          <w:szCs w:val="32"/>
        </w:rPr>
        <w:t>Апелляция и пересмотр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Срок подачи апелляции — 30 (тридцать) календарных дней с момента принятия решения.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Рассмотрение комиссией СПК СТС в течение 45 (сорока пяти), но не более 60 (шестидесяти) календарных дней.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Основания для апелляции:</w:t>
      </w:r>
    </w:p>
    <w:p>
      <w:pPr>
        <w:pStyle w:val="ListParagraph"/>
        <w:numPr>
          <w:ilvl w:val="0"/>
          <w:numId w:val="7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Процедурные нарушения (доказанные)</w:t>
      </w:r>
    </w:p>
    <w:p>
      <w:pPr>
        <w:pStyle w:val="ListParagraph"/>
        <w:numPr>
          <w:ilvl w:val="0"/>
          <w:numId w:val="7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Появление новых существенных обстоятельств</w:t>
      </w:r>
    </w:p>
    <w:p>
      <w:pPr>
        <w:pStyle w:val="ListParagraph"/>
        <w:numPr>
          <w:ilvl w:val="0"/>
          <w:numId w:val="7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Неправильная интерпретация критериев оценки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Возможные результаты:</w:t>
      </w:r>
    </w:p>
    <w:p>
      <w:pPr>
        <w:pStyle w:val="ListParagraph"/>
        <w:numPr>
          <w:ilvl w:val="0"/>
          <w:numId w:val="8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Оставить решение без изменения</w:t>
      </w:r>
    </w:p>
    <w:p>
      <w:pPr>
        <w:pStyle w:val="ListParagraph"/>
        <w:numPr>
          <w:ilvl w:val="0"/>
          <w:numId w:val="8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Направить на повторную защиту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Возможность повторного обращения о присвоении профессиональной степени по данному виду деятельности допускается не раннее, чем через 3 (три) года со дня вынесения решения (а в случае подачи апелляции – с даты вынесения по ней окончательного решения).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Аннулирование решения о профессиональной степени осуществляется в порядке, предусмотренном Положением о реализации пилотного проекта по внедрению в Российской Федерации Института профессиональных степеней (утв. Национальным советом при Президенте Российской Федерации по профессиональным квалификациям – протокол №100 от 17.06.2026 года).</w:t>
      </w:r>
    </w:p>
    <w:p>
      <w:pPr>
        <w:pStyle w:val="Normal"/>
        <w:spacing w:lineRule="auto" w:line="276"/>
        <w:rPr>
          <w:rFonts w:ascii="Times New Roman" w:hAnsi="Times New Roman" w:eastAsia="" w:cs="Times New Roman" w:eastAsiaTheme="majorEastAsia"/>
          <w:b/>
          <w:bCs/>
          <w:color w:themeColor="accent1" w:themeShade="7f" w:val="1F3763"/>
          <w:sz w:val="32"/>
          <w:szCs w:val="32"/>
        </w:rPr>
      </w:pPr>
      <w:r>
        <w:rPr>
          <w:rFonts w:eastAsia="" w:cs="Times New Roman" w:eastAsiaTheme="majorEastAsia" w:ascii="Times New Roman" w:hAnsi="Times New Roman"/>
          <w:b/>
          <w:bCs/>
          <w:color w:themeColor="accent1" w:themeShade="7f" w:val="1F3763"/>
          <w:sz w:val="32"/>
          <w:szCs w:val="32"/>
        </w:rPr>
      </w:r>
      <w:r>
        <w:br w:type="page"/>
      </w:r>
    </w:p>
    <w:p>
      <w:pPr>
        <w:pStyle w:val="Heading3"/>
        <w:numPr>
          <w:ilvl w:val="2"/>
          <w:numId w:val="1"/>
        </w:numPr>
        <w:spacing w:lineRule="auto" w:line="276" w:before="0"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  <w:lang w:val="en-US"/>
        </w:rPr>
        <w:t xml:space="preserve">IX </w:t>
      </w:r>
      <w:r>
        <w:rPr>
          <w:rFonts w:cs="Times New Roman" w:ascii="Times New Roman" w:hAnsi="Times New Roman"/>
          <w:b/>
          <w:bCs/>
          <w:sz w:val="32"/>
          <w:szCs w:val="32"/>
        </w:rPr>
        <w:t>Приложения</w:t>
      </w:r>
    </w:p>
    <w:tbl>
      <w:tblPr>
        <w:tblStyle w:val="a9"/>
        <w:tblW w:w="96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14"/>
        <w:gridCol w:w="1842"/>
        <w:gridCol w:w="4678"/>
      </w:tblGrid>
      <w:tr>
        <w:trPr/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Приложение № 1</w:t>
            </w:r>
          </w:p>
          <w:p>
            <w:pPr>
              <w:pStyle w:val="Normal"/>
              <w:widowControl/>
              <w:spacing w:lineRule="auto" w:line="240" w:before="0" w:after="0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 Положению о Квалификационной комиссии СПК СТС по рассмотрению обращений соискателей о присуждении профессиональных степеней: «Мастер практики», «Доктор практики» по соответствующим видам профессиональной деятельности</w:t>
            </w:r>
          </w:p>
          <w:p>
            <w:pPr>
              <w:pStyle w:val="Normal"/>
              <w:widowControl/>
              <w:spacing w:lineRule="auto" w:line="240" w:before="240" w:after="0"/>
              <w:ind w:firstLine="709"/>
              <w:jc w:val="righ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Рекомендуемый образец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9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2"/>
      </w:tblGrid>
      <w:tr>
        <w:trPr/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Председателю Совета по профессиональным квалификациям в сфере безопасности труда, социальной защиты и занятости населения</w:t>
            </w:r>
          </w:p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Ю.В. Герцию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от _____________________________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                   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ФИО полностью</w:t>
            </w:r>
          </w:p>
        </w:tc>
      </w:tr>
    </w:tbl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ЗАЯВЛЕНИЕ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Прошу принять к рассмотрению и защите мою профессионально-квалификационную работу на тему: ____________________________________ </w:t>
      </w:r>
    </w:p>
    <w:p>
      <w:pPr>
        <w:pStyle w:val="Normal"/>
        <w:spacing w:lineRule="auto" w:line="276" w:before="0"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___________________________________________________________________ 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(название работы)</w:t>
      </w:r>
    </w:p>
    <w:p>
      <w:pPr>
        <w:pStyle w:val="Normal"/>
        <w:spacing w:lineRule="auto" w:line="276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соискание профессиональной степени «Мастер практики» («Доктор практики») ________________________________________________________ </w:t>
      </w:r>
    </w:p>
    <w:p>
      <w:pPr>
        <w:pStyle w:val="Normal"/>
        <w:spacing w:lineRule="auto" w:line="276" w:before="0"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(вид профессиональной деятельности)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Защита профессиональной степени проводится впервые (повторно).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Согласен(на) на включение моих персональных данных в аттестационное дело и их дальнейшую обработку. Подтверждаю, что все представленные к соисканию профессиональной степени данные и результаты являются подлинными и оригинальными и, кроме специально оговоренных случаев, получены мною лично.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Дата                                                                          Подпись (ФИО)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9"/>
        <w:tblW w:w="96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14"/>
        <w:gridCol w:w="1842"/>
        <w:gridCol w:w="4678"/>
      </w:tblGrid>
      <w:tr>
        <w:trPr/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Приложение № 2</w:t>
            </w:r>
          </w:p>
          <w:p>
            <w:pPr>
              <w:pStyle w:val="Normal"/>
              <w:widowControl/>
              <w:spacing w:lineRule="auto" w:line="240" w:before="0" w:after="0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 Положению о Квалификационной комиссии СПК СТС по рассмотрению обращений соискателей о присуждении профессиональных степеней: «Мастер практики», «Доктор практики» по соответствующим видам профессиональной деятельности</w:t>
            </w:r>
          </w:p>
          <w:p>
            <w:pPr>
              <w:pStyle w:val="Normal"/>
              <w:widowControl/>
              <w:spacing w:lineRule="auto" w:line="240" w:before="240" w:after="0"/>
              <w:ind w:firstLine="709"/>
              <w:jc w:val="righ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Рекомендуемая форма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РЕЕСТР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рассмотрения поступивших обращений о присвоение профессиональной степени</w:t>
      </w:r>
    </w:p>
    <w:p>
      <w:pPr>
        <w:pStyle w:val="Normal"/>
        <w:spacing w:lineRule="auto" w:line="240" w:before="240" w:after="16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«МАСТЕР ПРАКТИКИ»</w:t>
      </w:r>
    </w:p>
    <w:tbl>
      <w:tblPr>
        <w:tblStyle w:val="a9"/>
        <w:tblW w:w="10349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7"/>
        <w:gridCol w:w="992"/>
        <w:gridCol w:w="852"/>
        <w:gridCol w:w="1275"/>
        <w:gridCol w:w="851"/>
        <w:gridCol w:w="708"/>
        <w:gridCol w:w="1417"/>
        <w:gridCol w:w="852"/>
        <w:gridCol w:w="1417"/>
        <w:gridCol w:w="1417"/>
      </w:tblGrid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п/п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Дата регистрации заявления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ФИО соискателя полностью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Тема / вид профессиональной деятельности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ФИО аппонентов (1. и 2.)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Дата защиты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Решение квалификационной комиссии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Дата и номер протокола СПК СТС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Дата направления документов в Национальный совет при Президенте Российской Федерации по профессиональным квалификациям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Дата и номер протокола принятого решения Национального совета при Президенте Российской Федерации по профессиональным квалификациям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001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…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..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</w:tr>
    </w:tbl>
    <w:p>
      <w:pPr>
        <w:pStyle w:val="Normal"/>
        <w:spacing w:lineRule="auto" w:line="240" w:before="240" w:after="16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«ДОКТОР ПРАКТИКИ»</w:t>
      </w:r>
    </w:p>
    <w:tbl>
      <w:tblPr>
        <w:tblStyle w:val="a9"/>
        <w:tblW w:w="10349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7"/>
        <w:gridCol w:w="992"/>
        <w:gridCol w:w="852"/>
        <w:gridCol w:w="1275"/>
        <w:gridCol w:w="851"/>
        <w:gridCol w:w="708"/>
        <w:gridCol w:w="1417"/>
        <w:gridCol w:w="852"/>
        <w:gridCol w:w="1417"/>
        <w:gridCol w:w="1417"/>
      </w:tblGrid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п/п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Дата регистрации заявления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ФИО соискателя полностью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Тема / вид профессиональной деятельности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ФИО аппонентов (1. и 2.)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Дата защиты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Решение квалификационной комиссии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Дата и номер протокола СПК СТС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Дата направления документов в Национальный совет при Президенте Российской Федерации по профессиональным квалификациям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Дата и номер протокола принятого решения Национального совета при Президенте Российской Федерации по профессиональным квалификациям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001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…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  <w:t>..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240" w:after="0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12"/>
                <w:szCs w:val="12"/>
                <w:lang w:val="ru-RU" w:eastAsia="en-US" w:bidi="ar-SA"/>
              </w:rPr>
            </w:r>
          </w:p>
        </w:tc>
      </w:tr>
    </w:tbl>
    <w:p>
      <w:pPr>
        <w:pStyle w:val="Normal"/>
        <w:spacing w:lineRule="auto" w:line="240" w:before="24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24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Vivaldi">
    <w:charset w:val="01"/>
    <w:family w:val="script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398669638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398669638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Глава 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1500" w:hanging="360"/>
      </w:pPr>
      <w:rPr>
        <w:rFonts w:ascii="Vivaldi" w:hAnsi="Vivaldi" w:cs="Vival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Vivaldi" w:hAnsi="Vivaldi" w:cs="Vival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Vivaldi" w:hAnsi="Vivaldi" w:cs="Vival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Vivaldi" w:hAnsi="Vivaldi" w:cs="Vival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a6604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1d542d"/>
    <w:pPr>
      <w:keepNext w:val="true"/>
      <w:keepLines/>
      <w:numPr>
        <w:ilvl w:val="0"/>
        <w:numId w:val="1"/>
      </w:numPr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1d542d"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1d542d"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3763"/>
      <w:sz w:val="24"/>
      <w:szCs w:val="24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1d542d"/>
    <w:pPr>
      <w:keepNext w:val="true"/>
      <w:keepLines/>
      <w:numPr>
        <w:ilvl w:val="3"/>
        <w:numId w:val="1"/>
      </w:numPr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1d542d"/>
    <w:pPr>
      <w:keepNext w:val="true"/>
      <w:keepLines/>
      <w:numPr>
        <w:ilvl w:val="4"/>
        <w:numId w:val="1"/>
      </w:numPr>
      <w:tabs>
        <w:tab w:val="clear" w:pos="708"/>
        <w:tab w:val="left" w:pos="360" w:leader="none"/>
      </w:tabs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1d542d"/>
    <w:pPr>
      <w:keepNext w:val="true"/>
      <w:keepLines/>
      <w:numPr>
        <w:ilvl w:val="5"/>
        <w:numId w:val="1"/>
      </w:numPr>
      <w:tabs>
        <w:tab w:val="clear" w:pos="708"/>
        <w:tab w:val="left" w:pos="360" w:leader="none"/>
      </w:tabs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3763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1d542d"/>
    <w:pPr>
      <w:keepNext w:val="true"/>
      <w:keepLines/>
      <w:numPr>
        <w:ilvl w:val="6"/>
        <w:numId w:val="1"/>
      </w:numPr>
      <w:tabs>
        <w:tab w:val="clear" w:pos="708"/>
        <w:tab w:val="left" w:pos="360" w:leader="none"/>
      </w:tabs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3763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1d542d"/>
    <w:pPr>
      <w:keepNext w:val="true"/>
      <w:keepLines/>
      <w:numPr>
        <w:ilvl w:val="7"/>
        <w:numId w:val="1"/>
      </w:numPr>
      <w:tabs>
        <w:tab w:val="clear" w:pos="708"/>
        <w:tab w:val="left" w:pos="360" w:leader="none"/>
      </w:tabs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1d542d"/>
    <w:pPr>
      <w:keepNext w:val="true"/>
      <w:keepLines/>
      <w:numPr>
        <w:ilvl w:val="8"/>
        <w:numId w:val="1"/>
      </w:numPr>
      <w:tabs>
        <w:tab w:val="clear" w:pos="708"/>
        <w:tab w:val="left" w:pos="360" w:leader="none"/>
      </w:tabs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1d542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2" w:customStyle="1">
    <w:name w:val="Заголовок 2 Знак"/>
    <w:basedOn w:val="DefaultParagraphFont"/>
    <w:uiPriority w:val="9"/>
    <w:semiHidden/>
    <w:qFormat/>
    <w:rsid w:val="001d542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qFormat/>
    <w:rsid w:val="001d542d"/>
    <w:rPr>
      <w:rFonts w:ascii="Calibri Light" w:hAnsi="Calibri Light" w:eastAsia="" w:cs="" w:asciiTheme="majorHAnsi" w:cstheme="majorBidi" w:eastAsiaTheme="majorEastAsia" w:hAnsiTheme="majorHAnsi"/>
      <w:color w:themeColor="accent1" w:themeShade="7f" w:val="1F3763"/>
      <w:sz w:val="24"/>
      <w:szCs w:val="24"/>
    </w:rPr>
  </w:style>
  <w:style w:type="character" w:styleId="4" w:customStyle="1">
    <w:name w:val="Заголовок 4 Знак"/>
    <w:basedOn w:val="DefaultParagraphFont"/>
    <w:uiPriority w:val="9"/>
    <w:semiHidden/>
    <w:qFormat/>
    <w:rsid w:val="001d542d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1d542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1d542d"/>
    <w:rPr>
      <w:rFonts w:ascii="Calibri Light" w:hAnsi="Calibri Light" w:eastAsia="" w:cs="" w:asciiTheme="majorHAnsi" w:cstheme="majorBidi" w:eastAsiaTheme="majorEastAsia" w:hAnsiTheme="majorHAnsi"/>
      <w:color w:themeColor="accent1" w:themeShade="7f" w:val="1F3763"/>
    </w:rPr>
  </w:style>
  <w:style w:type="character" w:styleId="7" w:customStyle="1">
    <w:name w:val="Заголовок 7 Знак"/>
    <w:basedOn w:val="DefaultParagraphFont"/>
    <w:uiPriority w:val="9"/>
    <w:semiHidden/>
    <w:qFormat/>
    <w:rsid w:val="001d542d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3763"/>
    </w:rPr>
  </w:style>
  <w:style w:type="character" w:styleId="8" w:customStyle="1">
    <w:name w:val="Заголовок 8 Знак"/>
    <w:basedOn w:val="DefaultParagraphFont"/>
    <w:uiPriority w:val="9"/>
    <w:semiHidden/>
    <w:qFormat/>
    <w:rsid w:val="001d542d"/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character" w:styleId="9" w:customStyle="1">
    <w:name w:val="Заголовок 9 Знак"/>
    <w:basedOn w:val="DefaultParagraphFont"/>
    <w:uiPriority w:val="9"/>
    <w:semiHidden/>
    <w:qFormat/>
    <w:rsid w:val="001d542d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Style5" w:customStyle="1">
    <w:name w:val="Верхний колонтитул Знак"/>
    <w:basedOn w:val="DefaultParagraphFont"/>
    <w:uiPriority w:val="99"/>
    <w:qFormat/>
    <w:rsid w:val="00770e1e"/>
    <w:rPr/>
  </w:style>
  <w:style w:type="character" w:styleId="Style6" w:customStyle="1">
    <w:name w:val="Нижний колонтитул Знак"/>
    <w:basedOn w:val="DefaultParagraphFont"/>
    <w:uiPriority w:val="99"/>
    <w:qFormat/>
    <w:rsid w:val="00770e1e"/>
    <w:rPr/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8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1d542d"/>
    <w:pPr>
      <w:spacing w:before="0" w:after="160"/>
      <w:ind w:left="720"/>
      <w:contextualSpacing/>
    </w:pPr>
    <w:rPr/>
  </w:style>
  <w:style w:type="paragraph" w:styleId="IndexHeading">
    <w:name w:val="index heading"/>
    <w:basedOn w:val="Style7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8b5ea4"/>
    <w:pPr>
      <w:numPr>
        <w:ilvl w:val="0"/>
        <w:numId w:val="0"/>
      </w:numPr>
      <w:outlineLvl w:val="9"/>
    </w:pPr>
    <w:rPr>
      <w:lang w:eastAsia="ru-RU"/>
    </w:rPr>
  </w:style>
  <w:style w:type="paragraph" w:styleId="TOC2">
    <w:name w:val="toc 2"/>
    <w:basedOn w:val="Normal"/>
    <w:next w:val="Normal"/>
    <w:autoRedefine/>
    <w:uiPriority w:val="39"/>
    <w:unhideWhenUsed/>
    <w:rsid w:val="008b5ea4"/>
    <w:pPr>
      <w:spacing w:before="0" w:after="100"/>
      <w:ind w:left="220"/>
    </w:pPr>
    <w:rPr>
      <w:rFonts w:eastAsia="" w:cs="Times New Roman" w:eastAsiaTheme="minorEastAsia"/>
      <w:lang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8b5ea4"/>
    <w:pPr>
      <w:spacing w:before="0" w:after="100"/>
    </w:pPr>
    <w:rPr>
      <w:rFonts w:eastAsia="" w:cs="Times New Roman" w:eastAsiaTheme="minorEastAsia"/>
      <w:b/>
      <w:bCs/>
      <w:lang w:eastAsia="ru-RU"/>
    </w:rPr>
  </w:style>
  <w:style w:type="paragraph" w:styleId="TOC3">
    <w:name w:val="toc 3"/>
    <w:basedOn w:val="Normal"/>
    <w:next w:val="Normal"/>
    <w:autoRedefine/>
    <w:uiPriority w:val="39"/>
    <w:unhideWhenUsed/>
    <w:rsid w:val="008b5ea4"/>
    <w:pPr>
      <w:spacing w:before="0" w:after="100"/>
      <w:ind w:left="440"/>
    </w:pPr>
    <w:rPr>
      <w:rFonts w:eastAsia="" w:cs="Times New Roman" w:eastAsiaTheme="minorEastAsia"/>
      <w:lang w:eastAsia="ru-RU"/>
    </w:rPr>
  </w:style>
  <w:style w:type="paragraph" w:styleId="Style9">
    <w:name w:val="Колонтитулы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rsid w:val="00770e1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6"/>
    <w:uiPriority w:val="99"/>
    <w:unhideWhenUsed/>
    <w:rsid w:val="00770e1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bf081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848A1-F5A0-4E1F-AA66-55063C5B7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Application>LibreOffice/25.2.7.2$Windows_X86_64 LibreOffice_project/5cbfd1ab6520636bb5f7b99185aa69bd7456825d</Application>
  <AppVersion>15.0000</AppVersion>
  <Pages>7</Pages>
  <Words>581</Words>
  <Characters>4326</Characters>
  <CharactersWithSpaces>5000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2026-08-10T14:04:00Z</dcterms:created>
  <dc:creator>Александр Иванович Однохоров</dc:creator>
  <dc:description/>
  <dc:language>ru-RU</dc:language>
  <cp:lastModifiedBy>Александр Иванович Однохоров</cp:lastModifiedBy>
  <cp:lastPrinted>2026-08-10T14:14:00Z</cp:lastPrinted>
  <dcterms:modified xsi:type="dcterms:W3CDTF">2026-08-11T10:41:00Z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