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10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8"/>
      </w:tblGrid>
      <w:tr w14:paraId="0D761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1028" w:type="dxa"/>
          </w:tcPr>
          <w:p w14:paraId="0D7D68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5FFC902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40CF0C65">
      <w:pPr>
        <w:pStyle w:val="2"/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bookmarkStart w:id="0" w:name="_Toc1"/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>Наименования квалификаций и требования к квалификациям, на соответствие которым проводится независимая оценка квалификации, представленные СПК в сфере безопасности труда, социальной защиты и занятости населения</w:t>
      </w:r>
      <w:bookmarkEnd w:id="0"/>
    </w:p>
    <w:p w14:paraId="79118F90">
      <w:pPr>
        <w:pStyle w:val="2"/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6941"/>
        <w:gridCol w:w="7610"/>
      </w:tblGrid>
      <w:tr w14:paraId="4CC30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6941" w:type="dxa"/>
          </w:tcPr>
          <w:p w14:paraId="621B61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 Наименование квалификации</w:t>
            </w:r>
          </w:p>
        </w:tc>
        <w:tc>
          <w:tcPr>
            <w:tcW w:w="7610" w:type="dxa"/>
          </w:tcPr>
          <w:p w14:paraId="4F6ABC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Управляющий молодежным пространством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(6 уровень квалификации)</w:t>
            </w:r>
          </w:p>
        </w:tc>
      </w:tr>
      <w:tr w14:paraId="0010D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6941" w:type="dxa"/>
          </w:tcPr>
          <w:p w14:paraId="71403D9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 Номер квалификации</w:t>
            </w:r>
          </w:p>
        </w:tc>
        <w:tc>
          <w:tcPr>
            <w:tcW w:w="7610" w:type="dxa"/>
          </w:tcPr>
          <w:p w14:paraId="48870D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F37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6941" w:type="dxa"/>
          </w:tcPr>
          <w:p w14:paraId="21677F4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 Уровень (подуровень) квалификации</w:t>
            </w:r>
          </w:p>
        </w:tc>
        <w:tc>
          <w:tcPr>
            <w:tcW w:w="7610" w:type="dxa"/>
          </w:tcPr>
          <w:p w14:paraId="1A8B16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4DD18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6941" w:type="dxa"/>
          </w:tcPr>
          <w:p w14:paraId="6BA9523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 Область профессиональной деятельности</w:t>
            </w:r>
          </w:p>
        </w:tc>
        <w:tc>
          <w:tcPr>
            <w:tcW w:w="7610" w:type="dxa"/>
          </w:tcPr>
          <w:p w14:paraId="59C3F6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Социальное обслуживание</w:t>
            </w:r>
          </w:p>
        </w:tc>
      </w:tr>
      <w:tr w14:paraId="2B228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6941" w:type="dxa"/>
          </w:tcPr>
          <w:p w14:paraId="79AAA4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 Вид профессиональной деятельности</w:t>
            </w:r>
          </w:p>
        </w:tc>
        <w:tc>
          <w:tcPr>
            <w:tcW w:w="7610" w:type="dxa"/>
          </w:tcPr>
          <w:p w14:paraId="227CDC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Деятельность по реализации молодежной политики</w:t>
            </w:r>
          </w:p>
        </w:tc>
      </w:tr>
      <w:tr w14:paraId="59D49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6941" w:type="dxa"/>
          </w:tcPr>
          <w:p w14:paraId="6622FB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6. Реквизиты протокола Совета об одобрении квалификации</w:t>
            </w:r>
          </w:p>
        </w:tc>
        <w:tc>
          <w:tcPr>
            <w:tcW w:w="7610" w:type="dxa"/>
          </w:tcPr>
          <w:p w14:paraId="67198A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429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6941" w:type="dxa"/>
          </w:tcPr>
          <w:p w14:paraId="4B32AB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7. Реквизиты приказа Национального агентства об утверждении квалификации</w:t>
            </w:r>
          </w:p>
        </w:tc>
        <w:tc>
          <w:tcPr>
            <w:tcW w:w="7610" w:type="dxa"/>
          </w:tcPr>
          <w:p w14:paraId="71E131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186B3F4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27B249B2">
      <w:pP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8. Основание разработки квалификации: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6978"/>
        <w:gridCol w:w="7573"/>
      </w:tblGrid>
      <w:tr w14:paraId="7C216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30" w:hRule="atLeast"/>
        </w:trPr>
        <w:tc>
          <w:tcPr>
            <w:tcW w:w="6978" w:type="dxa"/>
            <w:vAlign w:val="center"/>
          </w:tcPr>
          <w:p w14:paraId="7DC1F2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Вид документа</w:t>
            </w:r>
          </w:p>
        </w:tc>
        <w:tc>
          <w:tcPr>
            <w:tcW w:w="7573" w:type="dxa"/>
            <w:vAlign w:val="center"/>
          </w:tcPr>
          <w:p w14:paraId="146EDD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Полное наименование и реквизиты документа</w:t>
            </w:r>
          </w:p>
        </w:tc>
      </w:tr>
      <w:tr w14:paraId="7067C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6978" w:type="dxa"/>
          </w:tcPr>
          <w:p w14:paraId="2926A6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Профессиональный стандарт (при наличии)</w:t>
            </w:r>
          </w:p>
        </w:tc>
        <w:tc>
          <w:tcPr>
            <w:tcW w:w="7573" w:type="dxa"/>
          </w:tcPr>
          <w:p w14:paraId="4AC7D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Профессиональный стандарт «Специалист по работе с молодежью», утвержден Приказом Министерства труда и социальной защиты Российской Федерации от 11 ноября 2025 г. № 640н</w:t>
            </w:r>
          </w:p>
        </w:tc>
      </w:tr>
      <w:tr w14:paraId="01B41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6978" w:type="dxa"/>
          </w:tcPr>
          <w:p w14:paraId="58364D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Квалификационное требование, установленное федеральным законом и иным нормативным правовым актом Российской Федерации (при наличии)</w:t>
            </w:r>
          </w:p>
        </w:tc>
        <w:tc>
          <w:tcPr>
            <w:tcW w:w="7573" w:type="dxa"/>
          </w:tcPr>
          <w:p w14:paraId="363A9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5BEEB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6978" w:type="dxa"/>
          </w:tcPr>
          <w:p w14:paraId="749403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Квалификационная характеристика, связанная с видом профессиональной деятельности</w:t>
            </w:r>
          </w:p>
        </w:tc>
        <w:tc>
          <w:tcPr>
            <w:tcW w:w="7573" w:type="dxa"/>
          </w:tcPr>
          <w:p w14:paraId="6D511D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</w:tbl>
    <w:p w14:paraId="6F59C562">
      <w:pP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sectPr>
          <w:pgSz w:w="16837" w:h="11905" w:orient="landscape"/>
          <w:pgMar w:top="1138" w:right="1138" w:bottom="569" w:left="1138" w:header="720" w:footer="720" w:gutter="0"/>
          <w:cols w:space="720" w:num="1"/>
        </w:sectPr>
      </w:pPr>
    </w:p>
    <w:p w14:paraId="61F631BE">
      <w:pP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CDF2A81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9. Трудовые функции (профессиональные задачи, обязанности) и их характеристики:</w:t>
      </w:r>
    </w:p>
    <w:tbl>
      <w:tblPr>
        <w:tblStyle w:val="10"/>
        <w:tblW w:w="150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2224"/>
        <w:gridCol w:w="2300"/>
        <w:gridCol w:w="2723"/>
        <w:gridCol w:w="3219"/>
        <w:gridCol w:w="2550"/>
        <w:gridCol w:w="2031"/>
      </w:tblGrid>
      <w:tr w14:paraId="2944E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224" w:type="dxa"/>
            <w:vAlign w:val="center"/>
          </w:tcPr>
          <w:p w14:paraId="586E60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Код (при наличии профессионального стандарта)</w:t>
            </w:r>
          </w:p>
        </w:tc>
        <w:tc>
          <w:tcPr>
            <w:tcW w:w="2300" w:type="dxa"/>
            <w:vAlign w:val="center"/>
          </w:tcPr>
          <w:p w14:paraId="1D7C7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Наименование трудовой функции (профессиональной задачи, обязанности)</w:t>
            </w:r>
          </w:p>
        </w:tc>
        <w:tc>
          <w:tcPr>
            <w:tcW w:w="2723" w:type="dxa"/>
            <w:vAlign w:val="center"/>
          </w:tcPr>
          <w:p w14:paraId="4AE8F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Трудовые действия</w:t>
            </w:r>
          </w:p>
        </w:tc>
        <w:tc>
          <w:tcPr>
            <w:tcW w:w="3219" w:type="dxa"/>
            <w:vAlign w:val="center"/>
          </w:tcPr>
          <w:p w14:paraId="67A6B3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Необходимые умения</w:t>
            </w:r>
          </w:p>
        </w:tc>
        <w:tc>
          <w:tcPr>
            <w:tcW w:w="2550" w:type="dxa"/>
            <w:vAlign w:val="center"/>
          </w:tcPr>
          <w:p w14:paraId="0141D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Необходимые знания</w:t>
            </w:r>
          </w:p>
        </w:tc>
        <w:tc>
          <w:tcPr>
            <w:tcW w:w="2031" w:type="dxa"/>
            <w:vAlign w:val="center"/>
          </w:tcPr>
          <w:p w14:paraId="56D44A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Дополнительные сведения (при необходимости)</w:t>
            </w:r>
          </w:p>
        </w:tc>
      </w:tr>
      <w:tr w14:paraId="0C54D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224" w:type="dxa"/>
            <w:vMerge w:val="restart"/>
          </w:tcPr>
          <w:p w14:paraId="539CC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B/04.6</w:t>
            </w:r>
          </w:p>
        </w:tc>
        <w:tc>
          <w:tcPr>
            <w:tcW w:w="2300" w:type="dxa"/>
            <w:vMerge w:val="restart"/>
          </w:tcPr>
          <w:p w14:paraId="40DE53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Администрирование процесса функционирования объектов инфраструктуры молодежной политики</w:t>
            </w:r>
          </w:p>
        </w:tc>
        <w:tc>
          <w:tcPr>
            <w:tcW w:w="2723" w:type="dxa"/>
          </w:tcPr>
          <w:p w14:paraId="2C2ECBA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Разработка правил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порядка использования объектов инфраструктуры молодежной политики, их отдельных пространств или составляющих</w:t>
            </w:r>
          </w:p>
        </w:tc>
        <w:tc>
          <w:tcPr>
            <w:tcW w:w="3219" w:type="dxa"/>
          </w:tcPr>
          <w:p w14:paraId="57F027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в деятельности основные нормативные правовые акты в сфере молодежной политики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1989AB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Разрабатывать планы, правила, порядок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использования и концепции оформления объектов инфраструктуры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молодежной политики, их отдельных пространств или составляющих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50E2AA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Составлять ежемесячные планы использования объектов инфраструктуры молодежной политики, их отдельных пространств или составляющих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103F9D7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Информировать молодых граждан о правилах и порядке использования объектов инфраструктуры молодежной политики, их отдельных пространств или составляющих в различных источниках 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запросами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интересами молодежи, профилем деятельности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3B0264D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Проводить консультации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использованию объектов инфраструктуры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молодежной политики, их отдельных пространств или составляющих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1FF6E5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 качество использования объектов инфраструктуры молодежной политики, их отдельных пространств или составляющих</w:t>
            </w:r>
          </w:p>
        </w:tc>
        <w:tc>
          <w:tcPr>
            <w:tcW w:w="2550" w:type="dxa"/>
          </w:tcPr>
          <w:p w14:paraId="4FC110A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Нормативные правовые акты, а также методические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аналитические материалы по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молодежной политики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3BB5CB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Социальные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информационные технологии работы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молодежью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7E68B8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Методы межличностного общения 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разрешения конфликтных ситуаций, этика делового общения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межкультурной коммуникации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13A508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Принципы клиентоориентированности и человекоцентричности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работе сервисов учреждений молодежной политики</w:t>
            </w:r>
          </w:p>
        </w:tc>
        <w:tc>
          <w:tcPr>
            <w:tcW w:w="2031" w:type="dxa"/>
          </w:tcPr>
          <w:p w14:paraId="3D4B49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6DE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224" w:type="dxa"/>
            <w:vMerge w:val="continue"/>
          </w:tcPr>
          <w:p w14:paraId="2E8F0A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0" w:type="dxa"/>
            <w:vMerge w:val="continue"/>
          </w:tcPr>
          <w:p w14:paraId="40A408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3" w:type="dxa"/>
          </w:tcPr>
          <w:p w14:paraId="6FE183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мер и решений по выполнению требований информационной открытости учреждений молодежной политики</w:t>
            </w:r>
          </w:p>
        </w:tc>
        <w:tc>
          <w:tcPr>
            <w:tcW w:w="3219" w:type="dxa"/>
          </w:tcPr>
          <w:p w14:paraId="70DD04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Разрабатывать планы и программы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информирования, концепции информационных кампаний в средствах массовой информации и социальных сетях, стратегии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продвижения контента, презентации об объектах инфраструктуры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молодежной политики, их отдельных пространствах или составляющих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04B66B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Создавать информационные материалы об объектах инфраструктуры молодежной политики, их отдельных пространствах или составляющих в виде текстовой, графической, аудиовизуальной информации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5C0913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Размещать информационные материалы об объектах инфраструктуры молодежной политики, их отдельных пространствах или составляющих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различных источниках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353682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Вести блоги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социальных сетях, распространять информационные сообщения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интернет-сообществах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2B62F470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Работать с государственными информационными ресурсами, правовыми информационными системами, электронными (цифровыми) документами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1B1D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мониторинг информационного пространства</w:t>
            </w:r>
          </w:p>
        </w:tc>
        <w:tc>
          <w:tcPr>
            <w:tcW w:w="2550" w:type="dxa"/>
          </w:tcPr>
          <w:p w14:paraId="740182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Методы и инструменты создания различных типов контента, информационных материалов для средств массовой информации и социальных сетей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3AB7157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 формирования ценностей у молодежи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50D7951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Информационные технологии работы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молодежью и технологии проведения информационных кампаний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4AB5568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Инструменты анализа, мониторинга информационного пространства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5C9534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Специализированные сервисы, принципы работы с базами данных, порядок их редактирования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171DEE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Цифровые технологии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медиаграмотность, правила безопасности при работе с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цифровыми инструментами</w:t>
            </w:r>
          </w:p>
          <w:p w14:paraId="4F99B6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31" w:type="dxa"/>
          </w:tcPr>
          <w:p w14:paraId="570777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7C1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224" w:type="dxa"/>
            <w:vMerge w:val="continue"/>
          </w:tcPr>
          <w:p w14:paraId="176101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0" w:type="dxa"/>
            <w:vMerge w:val="continue"/>
          </w:tcPr>
          <w:p w14:paraId="7F8C06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3" w:type="dxa"/>
          </w:tcPr>
          <w:p w14:paraId="39F186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Планирование процесса использования объектов инфраструктуры молодежной политики</w:t>
            </w:r>
          </w:p>
        </w:tc>
        <w:tc>
          <w:tcPr>
            <w:tcW w:w="3219" w:type="dxa"/>
          </w:tcPr>
          <w:p w14:paraId="60C31F5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в деятельности основные нормативные правовые акты в сфере молодежной политики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01C50B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Разрабатывать планы,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правила, порядок использования и концепции оформления объектов инфраструктуры молодежной политики, их отдельных пространств или составляющих</w:t>
            </w:r>
          </w:p>
        </w:tc>
        <w:tc>
          <w:tcPr>
            <w:tcW w:w="2550" w:type="dxa"/>
          </w:tcPr>
          <w:p w14:paraId="717A8BA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Нормативные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правовые акты, а также методические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аналитические материалы по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молодежной политики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2F1C77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Принципы клиентоориентированности и человекоцентричности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работе сервисов учреждений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молодежной политики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1F51ED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по защите персональных данных при обработке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4983EE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охраны труда и пожарной безопасности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7F44B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Профессионально-этические требования</w:t>
            </w:r>
          </w:p>
        </w:tc>
        <w:tc>
          <w:tcPr>
            <w:tcW w:w="2031" w:type="dxa"/>
          </w:tcPr>
          <w:p w14:paraId="0A8F1D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E29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224" w:type="dxa"/>
            <w:vMerge w:val="continue"/>
          </w:tcPr>
          <w:p w14:paraId="478F78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0" w:type="dxa"/>
            <w:vMerge w:val="continue"/>
          </w:tcPr>
          <w:p w14:paraId="6602D7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3" w:type="dxa"/>
          </w:tcPr>
          <w:p w14:paraId="160992B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Планирование работы информационных сервисов и информационных ресурсов объектов инфраструктуры молодежной политики</w:t>
            </w:r>
          </w:p>
        </w:tc>
        <w:tc>
          <w:tcPr>
            <w:tcW w:w="3219" w:type="dxa"/>
          </w:tcPr>
          <w:p w14:paraId="55DCF48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Разрабатывать планы и программы информирования, концепции информационных кампаний в средствах массовой информации и социальных сетях, стратегии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продвижения контента, презентации об объектах инфраструктуры молодежной политики, их отдельных пространствах или составляющих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55A108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Создавать информационные материалы об объектах инфраструктуры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молодежной политики, их отдельных пространствах или составляющих в виде текстовой, графической, аудиовизуальной информации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084E3A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Размещать информационные материалы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 объектах инфраструктуры молодежной политики,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 отдельных пространствах или составляющих в различных источниках</w:t>
            </w:r>
          </w:p>
        </w:tc>
        <w:tc>
          <w:tcPr>
            <w:tcW w:w="2550" w:type="dxa"/>
          </w:tcPr>
          <w:p w14:paraId="41C6F3F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Специализированные сервисы, принципы работы с базами данных, порядок их редактирования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41AE23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Цифровые технологии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медиаграмотность, правила безопасности при работе с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цифровыми инструментами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1A5523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по защите персональных данных при обработке информации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0B691AD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охраны труда и пожарной безопасности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249506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Профессионально-этические требования</w:t>
            </w:r>
          </w:p>
        </w:tc>
        <w:tc>
          <w:tcPr>
            <w:tcW w:w="2031" w:type="dxa"/>
          </w:tcPr>
          <w:p w14:paraId="0430A2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7DE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224" w:type="dxa"/>
            <w:vMerge w:val="continue"/>
          </w:tcPr>
          <w:p w14:paraId="078943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0" w:type="dxa"/>
            <w:vMerge w:val="continue"/>
          </w:tcPr>
          <w:p w14:paraId="37FD53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3" w:type="dxa"/>
          </w:tcPr>
          <w:p w14:paraId="0C8388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работы клиентских сервисов объектов инфраструктуры молодежной политики</w:t>
            </w:r>
          </w:p>
        </w:tc>
        <w:tc>
          <w:tcPr>
            <w:tcW w:w="3219" w:type="dxa"/>
          </w:tcPr>
          <w:p w14:paraId="63BF67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Составлять ежемесячные планы использования объектов инфраструктуры молодежной политики, их отдельных пространств или составляющих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42B305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Проводить консультации по использованию объектов инфраструктуры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молодежной политики,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 отдельных пространств или составляющих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2D0FF239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 качество использования объектов инфраструктуры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молодежной политики,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 отдельных пространств или составляющих</w:t>
            </w:r>
          </w:p>
        </w:tc>
        <w:tc>
          <w:tcPr>
            <w:tcW w:w="2550" w:type="dxa"/>
          </w:tcPr>
          <w:p w14:paraId="49A48D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Социальные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информационные технологии работы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молодежью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3651E9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и приемы проведения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консультаций и бесед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0BEBD5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Принципы клиентоориентированности 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человекоцентричности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работе сервисов учреждений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молодежной политики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1B8ECC51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Специализированные сервисы, принципы работы с базами данных, порядок их редактирования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5D075B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Профессионально-этические требования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57CC33C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разрешения конфликтных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ситуаций</w:t>
            </w:r>
          </w:p>
        </w:tc>
        <w:tc>
          <w:tcPr>
            <w:tcW w:w="2031" w:type="dxa"/>
          </w:tcPr>
          <w:p w14:paraId="4FEBF0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E3A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224" w:type="dxa"/>
            <w:vMerge w:val="continue"/>
          </w:tcPr>
          <w:p w14:paraId="690E0F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00" w:type="dxa"/>
            <w:vMerge w:val="continue"/>
          </w:tcPr>
          <w:p w14:paraId="5B864FF0">
            <w:pP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</w:pPr>
          </w:p>
        </w:tc>
        <w:tc>
          <w:tcPr>
            <w:tcW w:w="2723" w:type="dxa"/>
          </w:tcPr>
          <w:p w14:paraId="4AB59DA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материалов для информационных сервисов и информационных ресурсов объектов инфраструктуры молодежной политики</w:t>
            </w:r>
          </w:p>
        </w:tc>
        <w:tc>
          <w:tcPr>
            <w:tcW w:w="3219" w:type="dxa"/>
          </w:tcPr>
          <w:p w14:paraId="346DE5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Создавать информационные материалы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 объектах инфраструктуры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молодежной политики, их отдельных пространствах или составляющих в виде текстовой, графической, аудиовизуальной информации</w:t>
            </w:r>
          </w:p>
        </w:tc>
        <w:tc>
          <w:tcPr>
            <w:tcW w:w="2550" w:type="dxa"/>
          </w:tcPr>
          <w:p w14:paraId="520752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Методы 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инструменты создания различных типов контента, информационных материалов для средств массовой информации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социальных сетей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771CD7F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Специализированные сервисы, принципы работы с базами данных, порядок их редактирования</w:t>
            </w:r>
          </w:p>
        </w:tc>
        <w:tc>
          <w:tcPr>
            <w:tcW w:w="2031" w:type="dxa"/>
            <w:vMerge w:val="restart"/>
          </w:tcPr>
          <w:p w14:paraId="28966D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A3A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224" w:type="dxa"/>
            <w:vMerge w:val="continue"/>
          </w:tcPr>
          <w:p w14:paraId="2D3FFE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00" w:type="dxa"/>
            <w:vMerge w:val="continue"/>
          </w:tcPr>
          <w:p w14:paraId="0B1887E3">
            <w:pP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</w:pPr>
          </w:p>
        </w:tc>
        <w:tc>
          <w:tcPr>
            <w:tcW w:w="2723" w:type="dxa"/>
          </w:tcPr>
          <w:p w14:paraId="4721C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и проведение информационных кампаний и мероприятий</w:t>
            </w:r>
          </w:p>
        </w:tc>
        <w:tc>
          <w:tcPr>
            <w:tcW w:w="3219" w:type="dxa"/>
          </w:tcPr>
          <w:p w14:paraId="5A9E60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Разрабатывать планы и программы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информирования, концепции информационных кампаний в средствах массовой информации и социальных сетях, стратегии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продвижения контента, презентации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 объектах инфраструктуры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молодежной политики, их отдельных пространствах или составляющих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76B618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Вести документацию и служебную переписку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соответствии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требованиями руководящих документов, правилами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порядком ведения делопроизводства</w:t>
            </w:r>
          </w:p>
        </w:tc>
        <w:tc>
          <w:tcPr>
            <w:tcW w:w="2550" w:type="dxa"/>
          </w:tcPr>
          <w:p w14:paraId="4DC18D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Социальные и информационные технологии работы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молодежью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230244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Методы 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инструменты создания различных типов контента, информационных материалов для средств массовой информации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социальных сетей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0C2B9B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Информационные технологии работы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молодежью и технологии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проведения информационных кампаний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42D34EE2">
            <w:pP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Цифровые технологии и медиаграмотность, правила безопасности при работе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цифровыми инструментами</w:t>
            </w:r>
          </w:p>
        </w:tc>
        <w:tc>
          <w:tcPr>
            <w:tcW w:w="2031" w:type="dxa"/>
            <w:vMerge w:val="continue"/>
          </w:tcPr>
          <w:p w14:paraId="3F860C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DC4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224" w:type="dxa"/>
            <w:vMerge w:val="continue"/>
          </w:tcPr>
          <w:p w14:paraId="1580D0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0" w:type="dxa"/>
            <w:vMerge w:val="continue"/>
          </w:tcPr>
          <w:p w14:paraId="09C926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3" w:type="dxa"/>
          </w:tcPr>
          <w:p w14:paraId="04DE0B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анализа информированности молодежи через средства массовой информации и социальные сети о функционировании объектов инфраструктуры молодежной политики, их отдельных пространств или составляющих</w:t>
            </w:r>
          </w:p>
        </w:tc>
        <w:tc>
          <w:tcPr>
            <w:tcW w:w="3219" w:type="dxa"/>
          </w:tcPr>
          <w:p w14:paraId="43C28A69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 качество использования объектов инфраструктуры молодежной политики, их отдельных пространств или составляющих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266E7A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Проводить мониторинг информационного пространства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26C0303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Вести документацию и служебную переписку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требованиями руководящих документов, правилами и порядком ведения делопроизводства</w:t>
            </w:r>
          </w:p>
        </w:tc>
        <w:tc>
          <w:tcPr>
            <w:tcW w:w="2550" w:type="dxa"/>
          </w:tcPr>
          <w:p w14:paraId="262400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Социальные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информационные технологии работы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молодежью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6753EED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Инструменты анализа, мониторинга информационного пространства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6D61FB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Цифровые технологии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медиаграмотность, правила безопасности при работе с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цифровыми инструментами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1D5F94C5">
            <w:pP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и порядок ведения делопроизводства и ЭДО, порядок и сроки представления отчетности</w:t>
            </w:r>
          </w:p>
        </w:tc>
        <w:tc>
          <w:tcPr>
            <w:tcW w:w="2031" w:type="dxa"/>
            <w:vMerge w:val="continue"/>
          </w:tcPr>
          <w:p w14:paraId="76DB0F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59A0E0D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175F43FA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3219FFC9"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10. Возможные наименования должностей, профессий и иные дополнительные характеристики:</w:t>
      </w:r>
    </w:p>
    <w:p w14:paraId="253703BE">
      <w:pPr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7"/>
        <w:gridCol w:w="3638"/>
        <w:gridCol w:w="1225"/>
        <w:gridCol w:w="6051"/>
      </w:tblGrid>
      <w:tr w14:paraId="62C88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7" w:type="dxa"/>
          </w:tcPr>
          <w:p w14:paraId="6C8618E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Возможные наименования должностей, профессий рабочих</w:t>
            </w:r>
          </w:p>
        </w:tc>
        <w:tc>
          <w:tcPr>
            <w:tcW w:w="3638" w:type="dxa"/>
          </w:tcPr>
          <w:p w14:paraId="6F76E4E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 документа</w:t>
            </w:r>
          </w:p>
        </w:tc>
        <w:tc>
          <w:tcPr>
            <w:tcW w:w="1225" w:type="dxa"/>
          </w:tcPr>
          <w:p w14:paraId="3F397E8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Код</w:t>
            </w:r>
          </w:p>
        </w:tc>
        <w:tc>
          <w:tcPr>
            <w:tcW w:w="6051" w:type="dxa"/>
          </w:tcPr>
          <w:p w14:paraId="1BB751C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14:paraId="3BB64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7" w:type="dxa"/>
            <w:vMerge w:val="restart"/>
          </w:tcPr>
          <w:p w14:paraId="18AE0A25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Администратор молодежного пространства</w:t>
            </w:r>
          </w:p>
          <w:p w14:paraId="430D4E68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Управляющий молодежным пространством</w:t>
            </w:r>
          </w:p>
        </w:tc>
        <w:tc>
          <w:tcPr>
            <w:tcW w:w="3638" w:type="dxa"/>
          </w:tcPr>
          <w:p w14:paraId="7085BEF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ОКЗ</w:t>
            </w:r>
          </w:p>
        </w:tc>
        <w:tc>
          <w:tcPr>
            <w:tcW w:w="1225" w:type="dxa"/>
          </w:tcPr>
          <w:p w14:paraId="55FB61F1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2635</w:t>
            </w:r>
          </w:p>
        </w:tc>
        <w:tc>
          <w:tcPr>
            <w:tcW w:w="6051" w:type="dxa"/>
          </w:tcPr>
          <w:p w14:paraId="27E94985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Специалисты в области организации и ведения социальной работы</w:t>
            </w:r>
          </w:p>
        </w:tc>
      </w:tr>
      <w:tr w14:paraId="08FA1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7" w:type="dxa"/>
            <w:vMerge w:val="continue"/>
          </w:tcPr>
          <w:p w14:paraId="5BC9288E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 w:val="restart"/>
          </w:tcPr>
          <w:p w14:paraId="4F25BABC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ЕКС</w:t>
            </w:r>
          </w:p>
        </w:tc>
        <w:tc>
          <w:tcPr>
            <w:tcW w:w="1225" w:type="dxa"/>
          </w:tcPr>
          <w:p w14:paraId="75798E64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-</w:t>
            </w:r>
          </w:p>
        </w:tc>
        <w:tc>
          <w:tcPr>
            <w:tcW w:w="6051" w:type="dxa"/>
          </w:tcPr>
          <w:p w14:paraId="5358993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Специалист по работе с молодежью</w:t>
            </w:r>
          </w:p>
        </w:tc>
      </w:tr>
      <w:tr w14:paraId="7FAFE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7" w:type="dxa"/>
            <w:vMerge w:val="continue"/>
          </w:tcPr>
          <w:p w14:paraId="7C80D1EC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 w:val="continue"/>
          </w:tcPr>
          <w:p w14:paraId="75023A4D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225" w:type="dxa"/>
          </w:tcPr>
          <w:p w14:paraId="718387A4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-</w:t>
            </w:r>
          </w:p>
        </w:tc>
        <w:tc>
          <w:tcPr>
            <w:tcW w:w="6051" w:type="dxa"/>
          </w:tcPr>
          <w:p w14:paraId="5DF79F87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Специалист по социальной работе с молодежью</w:t>
            </w:r>
          </w:p>
        </w:tc>
      </w:tr>
      <w:tr w14:paraId="7F21C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7" w:type="dxa"/>
            <w:vMerge w:val="continue"/>
          </w:tcPr>
          <w:p w14:paraId="1B74E2AF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 w:val="restart"/>
          </w:tcPr>
          <w:p w14:paraId="6E29216C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ОКПДТР</w:t>
            </w:r>
          </w:p>
        </w:tc>
        <w:tc>
          <w:tcPr>
            <w:tcW w:w="1225" w:type="dxa"/>
          </w:tcPr>
          <w:p w14:paraId="3AF421DF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203699</w:t>
            </w:r>
          </w:p>
        </w:tc>
        <w:tc>
          <w:tcPr>
            <w:tcW w:w="6051" w:type="dxa"/>
          </w:tcPr>
          <w:p w14:paraId="42C44898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Специалист по работе с молодежью</w:t>
            </w:r>
          </w:p>
        </w:tc>
      </w:tr>
      <w:tr w14:paraId="5D587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7" w:type="dxa"/>
            <w:vMerge w:val="continue"/>
          </w:tcPr>
          <w:p w14:paraId="4EF16D3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 w:val="continue"/>
          </w:tcPr>
          <w:p w14:paraId="1EF7072F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225" w:type="dxa"/>
          </w:tcPr>
          <w:p w14:paraId="05DB5EC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203720</w:t>
            </w:r>
          </w:p>
        </w:tc>
        <w:tc>
          <w:tcPr>
            <w:tcW w:w="6051" w:type="dxa"/>
          </w:tcPr>
          <w:p w14:paraId="4BCEF34B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Специалист по социальной работе с молодежью</w:t>
            </w:r>
          </w:p>
        </w:tc>
      </w:tr>
      <w:tr w14:paraId="5673E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7" w:type="dxa"/>
            <w:vMerge w:val="continue"/>
          </w:tcPr>
          <w:p w14:paraId="257F7CBD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 w:val="restart"/>
          </w:tcPr>
          <w:p w14:paraId="26E12B3D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Перечни ВО</w:t>
            </w:r>
          </w:p>
        </w:tc>
        <w:tc>
          <w:tcPr>
            <w:tcW w:w="1225" w:type="dxa"/>
            <w:shd w:val="clear" w:color="auto" w:fill="auto"/>
            <w:vAlign w:val="top"/>
          </w:tcPr>
          <w:p w14:paraId="27448F10">
            <w:pPr>
              <w:rPr>
                <w:rFonts w:ascii="Times New Roman" w:hAnsi="Times New Roman" w:eastAsia="Arial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15.01.6.0</w:t>
            </w:r>
          </w:p>
        </w:tc>
        <w:tc>
          <w:tcPr>
            <w:tcW w:w="6051" w:type="dxa"/>
            <w:shd w:val="clear" w:color="auto" w:fill="auto"/>
            <w:vAlign w:val="top"/>
          </w:tcPr>
          <w:p w14:paraId="0C3132BB">
            <w:pPr>
              <w:rPr>
                <w:rFonts w:ascii="Times New Roman" w:hAnsi="Times New Roman" w:eastAsia="Arial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Психология</w:t>
            </w:r>
          </w:p>
        </w:tc>
      </w:tr>
      <w:tr w14:paraId="35A06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7" w:type="dxa"/>
            <w:vMerge w:val="continue"/>
          </w:tcPr>
          <w:p w14:paraId="36BA06E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 w:val="continue"/>
          </w:tcPr>
          <w:p w14:paraId="19A70111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225" w:type="dxa"/>
            <w:shd w:val="clear" w:color="auto" w:fill="auto"/>
            <w:vAlign w:val="top"/>
          </w:tcPr>
          <w:p w14:paraId="36E0B168">
            <w:pPr>
              <w:rPr>
                <w:rFonts w:ascii="Times New Roman" w:hAnsi="Times New Roman" w:eastAsia="Arial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12.02.6.0</w:t>
            </w:r>
          </w:p>
        </w:tc>
        <w:tc>
          <w:tcPr>
            <w:tcW w:w="6051" w:type="dxa"/>
            <w:shd w:val="clear" w:color="auto" w:fill="auto"/>
            <w:vAlign w:val="top"/>
          </w:tcPr>
          <w:p w14:paraId="6502C084">
            <w:pPr>
              <w:rPr>
                <w:rFonts w:ascii="Times New Roman" w:hAnsi="Times New Roman" w:eastAsia="Arial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Менеджмент</w:t>
            </w:r>
          </w:p>
        </w:tc>
      </w:tr>
      <w:tr w14:paraId="523FE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7" w:type="dxa"/>
            <w:vMerge w:val="continue"/>
          </w:tcPr>
          <w:p w14:paraId="0B5CC39C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 w:val="continue"/>
          </w:tcPr>
          <w:p w14:paraId="00C8F63E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225" w:type="dxa"/>
            <w:shd w:val="clear" w:color="auto" w:fill="auto"/>
            <w:vAlign w:val="top"/>
          </w:tcPr>
          <w:p w14:paraId="389B4F56">
            <w:pPr>
              <w:rPr>
                <w:rFonts w:ascii="Times New Roman" w:hAnsi="Times New Roman" w:eastAsia="Arial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12.07.6.0.</w:t>
            </w:r>
          </w:p>
        </w:tc>
        <w:tc>
          <w:tcPr>
            <w:tcW w:w="6051" w:type="dxa"/>
            <w:shd w:val="clear" w:color="auto" w:fill="auto"/>
            <w:vAlign w:val="top"/>
          </w:tcPr>
          <w:p w14:paraId="393F7388">
            <w:pPr>
              <w:rPr>
                <w:rFonts w:ascii="Times New Roman" w:hAnsi="Times New Roman" w:eastAsia="Arial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Государственное и муниципальное управление</w:t>
            </w:r>
          </w:p>
        </w:tc>
      </w:tr>
      <w:tr w14:paraId="3FC11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7" w:type="dxa"/>
            <w:vMerge w:val="continue"/>
          </w:tcPr>
          <w:p w14:paraId="16BF1481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 w:val="continue"/>
          </w:tcPr>
          <w:p w14:paraId="3B8254CE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225" w:type="dxa"/>
            <w:shd w:val="clear" w:color="auto" w:fill="auto"/>
            <w:vAlign w:val="top"/>
          </w:tcPr>
          <w:p w14:paraId="11FC48AB">
            <w:pPr>
              <w:rPr>
                <w:rFonts w:ascii="Times New Roman" w:hAnsi="Times New Roman" w:eastAsia="Arial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13.05.6.0</w:t>
            </w:r>
          </w:p>
        </w:tc>
        <w:tc>
          <w:tcPr>
            <w:tcW w:w="6051" w:type="dxa"/>
            <w:shd w:val="clear" w:color="auto" w:fill="auto"/>
            <w:vAlign w:val="top"/>
          </w:tcPr>
          <w:p w14:paraId="167C75D5">
            <w:pPr>
              <w:rPr>
                <w:rFonts w:ascii="Times New Roman" w:hAnsi="Times New Roman" w:eastAsia="Arial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Социология</w:t>
            </w:r>
          </w:p>
        </w:tc>
      </w:tr>
      <w:tr w14:paraId="77B87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7" w:type="dxa"/>
            <w:vMerge w:val="continue"/>
          </w:tcPr>
          <w:p w14:paraId="595FD514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 w:val="continue"/>
          </w:tcPr>
          <w:p w14:paraId="4C7E5095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225" w:type="dxa"/>
            <w:shd w:val="clear" w:color="auto" w:fill="auto"/>
            <w:vAlign w:val="top"/>
          </w:tcPr>
          <w:p w14:paraId="24E648AF">
            <w:pPr>
              <w:rPr>
                <w:rFonts w:ascii="Times New Roman" w:hAnsi="Times New Roman" w:eastAsia="Arial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43.02.6.0</w:t>
            </w:r>
          </w:p>
        </w:tc>
        <w:tc>
          <w:tcPr>
            <w:tcW w:w="6051" w:type="dxa"/>
            <w:shd w:val="clear" w:color="auto" w:fill="auto"/>
            <w:vAlign w:val="top"/>
          </w:tcPr>
          <w:p w14:paraId="317F3246">
            <w:pPr>
              <w:rPr>
                <w:rFonts w:ascii="Times New Roman" w:hAnsi="Times New Roman" w:eastAsia="Arial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Социальная работа</w:t>
            </w:r>
          </w:p>
        </w:tc>
      </w:tr>
      <w:tr w14:paraId="71527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7" w:type="dxa"/>
            <w:vMerge w:val="continue"/>
          </w:tcPr>
          <w:p w14:paraId="202A820E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 w:val="continue"/>
          </w:tcPr>
          <w:p w14:paraId="19CC2908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225" w:type="dxa"/>
            <w:shd w:val="clear" w:color="auto" w:fill="auto"/>
            <w:vAlign w:val="top"/>
          </w:tcPr>
          <w:p w14:paraId="484EE3FF">
            <w:pPr>
              <w:rPr>
                <w:rFonts w:ascii="Times New Roman" w:hAnsi="Times New Roman" w:eastAsia="Arial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43.01.6.0</w:t>
            </w:r>
          </w:p>
        </w:tc>
        <w:tc>
          <w:tcPr>
            <w:tcW w:w="6051" w:type="dxa"/>
            <w:shd w:val="clear" w:color="auto" w:fill="auto"/>
            <w:vAlign w:val="top"/>
          </w:tcPr>
          <w:p w14:paraId="158D85CB">
            <w:pPr>
              <w:rPr>
                <w:rFonts w:ascii="Times New Roman" w:hAnsi="Times New Roman" w:eastAsia="Arial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Организация работы с молодежью</w:t>
            </w:r>
          </w:p>
        </w:tc>
      </w:tr>
      <w:tr w14:paraId="0D83C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7" w:type="dxa"/>
            <w:vMerge w:val="continue"/>
          </w:tcPr>
          <w:p w14:paraId="7DA854F5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 w:val="continue"/>
          </w:tcPr>
          <w:p w14:paraId="3DD038F5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225" w:type="dxa"/>
            <w:shd w:val="clear" w:color="auto" w:fill="auto"/>
            <w:vAlign w:val="top"/>
          </w:tcPr>
          <w:p w14:paraId="7825F5E1">
            <w:pPr>
              <w:rPr>
                <w:rFonts w:ascii="Times New Roman" w:hAnsi="Times New Roman" w:eastAsia="Arial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14.01.6.0</w:t>
            </w:r>
          </w:p>
        </w:tc>
        <w:tc>
          <w:tcPr>
            <w:tcW w:w="6051" w:type="dxa"/>
            <w:shd w:val="clear" w:color="auto" w:fill="auto"/>
            <w:vAlign w:val="top"/>
          </w:tcPr>
          <w:p w14:paraId="6356A1A3">
            <w:pPr>
              <w:rPr>
                <w:rFonts w:ascii="Times New Roman" w:hAnsi="Times New Roman" w:eastAsia="Arial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Юриспруденция</w:t>
            </w:r>
          </w:p>
        </w:tc>
      </w:tr>
      <w:tr w14:paraId="2EE12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7" w:type="dxa"/>
            <w:vMerge w:val="continue"/>
          </w:tcPr>
          <w:p w14:paraId="2494A518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 w:val="continue"/>
          </w:tcPr>
          <w:p w14:paraId="758E40F0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225" w:type="dxa"/>
            <w:shd w:val="clear" w:color="auto" w:fill="auto"/>
            <w:vAlign w:val="top"/>
          </w:tcPr>
          <w:p w14:paraId="6D5E325E">
            <w:pPr>
              <w:rPr>
                <w:rFonts w:ascii="Times New Roman" w:hAnsi="Times New Roman" w:eastAsia="Arial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13.02.6.0</w:t>
            </w:r>
          </w:p>
        </w:tc>
        <w:tc>
          <w:tcPr>
            <w:tcW w:w="6051" w:type="dxa"/>
            <w:shd w:val="clear" w:color="auto" w:fill="auto"/>
            <w:vAlign w:val="top"/>
          </w:tcPr>
          <w:p w14:paraId="51BF31AA">
            <w:pPr>
              <w:rPr>
                <w:rFonts w:ascii="Times New Roman" w:hAnsi="Times New Roman" w:eastAsia="Arial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Политология</w:t>
            </w:r>
          </w:p>
        </w:tc>
      </w:tr>
      <w:tr w14:paraId="08A68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7" w:type="dxa"/>
            <w:vMerge w:val="continue"/>
          </w:tcPr>
          <w:p w14:paraId="31030E50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 w:val="continue"/>
          </w:tcPr>
          <w:p w14:paraId="5D48E60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225" w:type="dxa"/>
            <w:shd w:val="clear" w:color="auto" w:fill="auto"/>
            <w:vAlign w:val="top"/>
          </w:tcPr>
          <w:p w14:paraId="50ACB77D">
            <w:pPr>
              <w:rPr>
                <w:rFonts w:ascii="Times New Roman" w:hAnsi="Times New Roman" w:eastAsia="Arial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04.04.6.0</w:t>
            </w:r>
          </w:p>
        </w:tc>
        <w:tc>
          <w:tcPr>
            <w:tcW w:w="6051" w:type="dxa"/>
            <w:shd w:val="clear" w:color="auto" w:fill="auto"/>
            <w:vAlign w:val="top"/>
          </w:tcPr>
          <w:p w14:paraId="0D080B4F">
            <w:pPr>
              <w:rPr>
                <w:rFonts w:ascii="Times New Roman" w:hAnsi="Times New Roman" w:eastAsia="Arial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Общественные коммуникации, медиа и журналистика</w:t>
            </w:r>
          </w:p>
        </w:tc>
      </w:tr>
      <w:tr w14:paraId="1F552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7" w:type="dxa"/>
            <w:vMerge w:val="continue"/>
          </w:tcPr>
          <w:p w14:paraId="5CDBF791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 w:val="continue"/>
          </w:tcPr>
          <w:p w14:paraId="7DB557FA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225" w:type="dxa"/>
            <w:shd w:val="clear" w:color="auto" w:fill="auto"/>
            <w:vAlign w:val="top"/>
          </w:tcPr>
          <w:p w14:paraId="30FD1E03">
            <w:pPr>
              <w:rPr>
                <w:rFonts w:ascii="Times New Roman" w:hAnsi="Times New Roman" w:eastAsia="Arial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42.02.6.0</w:t>
            </w:r>
          </w:p>
        </w:tc>
        <w:tc>
          <w:tcPr>
            <w:tcW w:w="6051" w:type="dxa"/>
            <w:shd w:val="clear" w:color="auto" w:fill="auto"/>
            <w:vAlign w:val="top"/>
          </w:tcPr>
          <w:p w14:paraId="79752D3B">
            <w:pPr>
              <w:rPr>
                <w:rFonts w:ascii="Times New Roman" w:hAnsi="Times New Roman" w:eastAsia="Arial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Туризм и туристические дестинации</w:t>
            </w:r>
          </w:p>
        </w:tc>
      </w:tr>
      <w:tr w14:paraId="13CDA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7" w:type="dxa"/>
            <w:vMerge w:val="continue"/>
          </w:tcPr>
          <w:p w14:paraId="35E3E0AA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 w:val="continue"/>
          </w:tcPr>
          <w:p w14:paraId="022EB3AD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225" w:type="dxa"/>
            <w:shd w:val="clear" w:color="auto" w:fill="auto"/>
            <w:vAlign w:val="top"/>
          </w:tcPr>
          <w:p w14:paraId="54AFA620">
            <w:pPr>
              <w:rPr>
                <w:rFonts w:ascii="Times New Roman" w:hAnsi="Times New Roman" w:eastAsia="Arial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10.01.6.0</w:t>
            </w:r>
          </w:p>
        </w:tc>
        <w:tc>
          <w:tcPr>
            <w:tcW w:w="6051" w:type="dxa"/>
            <w:shd w:val="clear" w:color="auto" w:fill="auto"/>
            <w:vAlign w:val="top"/>
          </w:tcPr>
          <w:p w14:paraId="7184EEE5">
            <w:pPr>
              <w:rPr>
                <w:rFonts w:ascii="Times New Roman" w:hAnsi="Times New Roman" w:eastAsia="Arial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Педагогическое образование</w:t>
            </w:r>
          </w:p>
        </w:tc>
      </w:tr>
      <w:tr w14:paraId="11B35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7" w:type="dxa"/>
            <w:vMerge w:val="continue"/>
          </w:tcPr>
          <w:p w14:paraId="32A01A5A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 w:val="continue"/>
          </w:tcPr>
          <w:p w14:paraId="431FC7DC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225" w:type="dxa"/>
            <w:shd w:val="clear" w:color="auto" w:fill="auto"/>
            <w:vAlign w:val="top"/>
          </w:tcPr>
          <w:p w14:paraId="3543229B">
            <w:pPr>
              <w:rPr>
                <w:rFonts w:ascii="Times New Roman" w:hAnsi="Times New Roman" w:eastAsia="Arial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10.02.6.0</w:t>
            </w:r>
          </w:p>
        </w:tc>
        <w:tc>
          <w:tcPr>
            <w:tcW w:w="6051" w:type="dxa"/>
            <w:shd w:val="clear" w:color="auto" w:fill="auto"/>
            <w:vAlign w:val="top"/>
          </w:tcPr>
          <w:p w14:paraId="6B936C6C">
            <w:pPr>
              <w:rPr>
                <w:rFonts w:ascii="Times New Roman" w:hAnsi="Times New Roman" w:eastAsia="Arial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Психолого-педагогическое образование</w:t>
            </w:r>
          </w:p>
        </w:tc>
      </w:tr>
      <w:tr w14:paraId="42A28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7" w:type="dxa"/>
            <w:vMerge w:val="continue"/>
          </w:tcPr>
          <w:p w14:paraId="5F03C13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 w:val="continue"/>
          </w:tcPr>
          <w:p w14:paraId="2E17AD80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225" w:type="dxa"/>
            <w:shd w:val="clear" w:color="auto" w:fill="auto"/>
            <w:vAlign w:val="top"/>
          </w:tcPr>
          <w:p w14:paraId="5D67D786">
            <w:pPr>
              <w:rPr>
                <w:rFonts w:ascii="Times New Roman" w:hAnsi="Times New Roman" w:eastAsia="Arial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07.01.6.0</w:t>
            </w:r>
          </w:p>
        </w:tc>
        <w:tc>
          <w:tcPr>
            <w:tcW w:w="6051" w:type="dxa"/>
            <w:shd w:val="clear" w:color="auto" w:fill="auto"/>
            <w:vAlign w:val="top"/>
          </w:tcPr>
          <w:p w14:paraId="73C40937">
            <w:pPr>
              <w:rPr>
                <w:rFonts w:ascii="Times New Roman" w:hAnsi="Times New Roman" w:eastAsia="Arial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Философия и прикладная этика</w:t>
            </w:r>
          </w:p>
        </w:tc>
      </w:tr>
      <w:tr w14:paraId="2FF07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7" w:type="dxa"/>
            <w:vMerge w:val="continue"/>
          </w:tcPr>
          <w:p w14:paraId="3B364CA0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 w:val="continue"/>
          </w:tcPr>
          <w:p w14:paraId="2D2661E1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225" w:type="dxa"/>
            <w:shd w:val="clear" w:color="auto" w:fill="auto"/>
            <w:vAlign w:val="top"/>
          </w:tcPr>
          <w:p w14:paraId="3485C0B7">
            <w:pPr>
              <w:rPr>
                <w:rFonts w:ascii="Times New Roman" w:hAnsi="Times New Roman" w:eastAsia="Arial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45.04.6.0</w:t>
            </w:r>
          </w:p>
        </w:tc>
        <w:tc>
          <w:tcPr>
            <w:tcW w:w="6051" w:type="dxa"/>
            <w:shd w:val="clear" w:color="auto" w:fill="auto"/>
            <w:vAlign w:val="top"/>
          </w:tcPr>
          <w:p w14:paraId="0A3F0D5E">
            <w:pPr>
              <w:rPr>
                <w:rFonts w:ascii="Times New Roman" w:hAnsi="Times New Roman" w:eastAsia="Arial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Социально-культурная деятельность</w:t>
            </w:r>
          </w:p>
        </w:tc>
      </w:tr>
      <w:tr w14:paraId="1251C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7" w:type="dxa"/>
            <w:vMerge w:val="continue"/>
          </w:tcPr>
          <w:p w14:paraId="58C1C4EE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1CACBF6C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Иное (указать)</w:t>
            </w:r>
          </w:p>
        </w:tc>
        <w:tc>
          <w:tcPr>
            <w:tcW w:w="1225" w:type="dxa"/>
          </w:tcPr>
          <w:p w14:paraId="2A38475C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-</w:t>
            </w:r>
          </w:p>
        </w:tc>
        <w:tc>
          <w:tcPr>
            <w:tcW w:w="6051" w:type="dxa"/>
          </w:tcPr>
          <w:p w14:paraId="4C1665F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-</w:t>
            </w:r>
          </w:p>
        </w:tc>
      </w:tr>
    </w:tbl>
    <w:p w14:paraId="0AECB0DC">
      <w:p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619B3174">
      <w:pPr>
        <w:numPr>
          <w:ilvl w:val="0"/>
          <w:numId w:val="1"/>
        </w:numPr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Основные пути получения квалификации:</w:t>
      </w:r>
    </w:p>
    <w:p w14:paraId="78D08E34">
      <w:pPr>
        <w:numPr>
          <w:ilvl w:val="0"/>
          <w:numId w:val="0"/>
        </w:numPr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Формальное образование и обучение (тип образовательной программы, при необходимости – направление подготовки/специальность/профессия, срок обучения и особые требования, возможные варианты):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 xml:space="preserve"> </w:t>
      </w:r>
    </w:p>
    <w:p w14:paraId="4BDFFFE1">
      <w:p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Высшее образование – бакалавриат и дополнительное профессиональное образование – программы повышения квалификации в сфере молодежной политики</w:t>
      </w:r>
    </w:p>
    <w:p w14:paraId="113044E9">
      <w:p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или</w:t>
      </w:r>
    </w:p>
    <w:p w14:paraId="7C204744">
      <w:pPr>
        <w:numPr>
          <w:ilvl w:val="0"/>
          <w:numId w:val="0"/>
        </w:numP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Высшее образование – бакалавриат (непрофильное) и дополнительное профессиональное образование –  программы профессиональной переподготовки по профилю деятельности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.</w:t>
      </w:r>
    </w:p>
    <w:p w14:paraId="31C7C91D">
      <w:pPr>
        <w:numPr>
          <w:ilvl w:val="0"/>
          <w:numId w:val="0"/>
        </w:numPr>
        <w:rPr>
          <w:rFonts w:ascii="Times New Roman" w:hAnsi="Times New Roman" w:eastAsia="Times New Roman" w:cs="Times New Roman"/>
          <w:color w:val="auto"/>
          <w:sz w:val="24"/>
          <w:szCs w:val="24"/>
        </w:rPr>
      </w:pPr>
    </w:p>
    <w:p w14:paraId="3BA93B61">
      <w:pPr>
        <w:numPr>
          <w:ilvl w:val="0"/>
          <w:numId w:val="0"/>
        </w:numPr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Опыт практической работы (стаж работы и особые требования (при необходимости), возможные варианты):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Не менее одного года в должности администратора молодежного пространства – для управляющего молодежным пространством</w:t>
      </w:r>
    </w:p>
    <w:p w14:paraId="1E99D527">
      <w:p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3E81780D">
      <w:pPr>
        <w:numPr>
          <w:ilvl w:val="0"/>
          <w:numId w:val="0"/>
        </w:numPr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Неформальное образование и самообразование (возможные варианты): -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 xml:space="preserve"> </w:t>
      </w:r>
    </w:p>
    <w:p w14:paraId="1E0CFA54">
      <w:p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1DE0C198">
      <w:pPr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  <w:t>12. Особые условия допуска к работе:</w:t>
      </w:r>
    </w:p>
    <w:p w14:paraId="5D27035A">
      <w:pPr>
        <w:ind w:firstLine="708" w:firstLineChars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К работе с участием несовершеннолетних не допускаются лица, имеющие или имевшие судимость за преступления, состав и виды которых установлены законодательством Российской Федерации</w:t>
      </w:r>
    </w:p>
    <w:p w14:paraId="66B261A9">
      <w:pPr>
        <w:numPr>
          <w:ilvl w:val="0"/>
          <w:numId w:val="0"/>
        </w:numPr>
        <w:ind w:firstLine="708" w:firstLineChars="0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Прохождение обязательных предварительных и периодических медицинских осмотров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.</w:t>
      </w:r>
    </w:p>
    <w:p w14:paraId="643DEF2A">
      <w:p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0F40EE39">
      <w:pPr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  <w:t xml:space="preserve">13.Наличие специального права в соответствии с федеральными законами и иными нормативными правовыми актами Российской Федерации, необходимого для выполнения работы (при наличии): - </w:t>
      </w:r>
    </w:p>
    <w:p w14:paraId="48FFA7F8">
      <w:pPr>
        <w:rPr>
          <w:rFonts w:ascii="Times New Roman" w:hAnsi="Times New Roman" w:cs="Times New Roman"/>
          <w:color w:val="auto"/>
          <w:sz w:val="24"/>
          <w:szCs w:val="24"/>
          <w:highlight w:val="yellow"/>
          <w:lang w:val="ru-RU"/>
        </w:rPr>
      </w:pPr>
    </w:p>
    <w:p w14:paraId="12DBB5D4">
      <w:p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  <w:t>14. Перечень документов, необходимых для прохождения профессионального экзамена по соответствующей квалификации:</w:t>
      </w:r>
    </w:p>
    <w:p w14:paraId="51D245BB">
      <w:pPr>
        <w:ind w:firstLine="708" w:firstLineChars="0"/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  <w:t>1. Документ, подтверждающий наличие высшего образования –  программы подготовки бакалавриат</w:t>
      </w:r>
    </w:p>
    <w:p w14:paraId="147EFEE3">
      <w:pPr>
        <w:ind w:firstLine="708" w:firstLineChars="0"/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  <w:t xml:space="preserve">2. Документ, подтверждающий наличие дополнительного профессионального образования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  <w:softHyphen/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  <w:t>– программы повышения квалификации в сфере молодежной политики</w:t>
      </w:r>
    </w:p>
    <w:p w14:paraId="36A5FCC1">
      <w:pPr>
        <w:ind w:firstLine="708" w:firstLineChars="0"/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  <w:t xml:space="preserve">3. Документ, подтверждающий наличие опыта практической работы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не менее одного года в должности администратора молодежного пространства</w:t>
      </w:r>
    </w:p>
    <w:p w14:paraId="0AC9EBFB">
      <w:pPr>
        <w:ind w:firstLine="708" w:firstLineChars="0"/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  <w:t>или</w:t>
      </w:r>
    </w:p>
    <w:p w14:paraId="23FB6DCB">
      <w:pPr>
        <w:ind w:firstLine="708" w:firstLineChars="0"/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  <w:t>1. Документ, подтверждающий наличие высшего образования –  программы подготовки бакалавриат (непрофильное)</w:t>
      </w:r>
    </w:p>
    <w:p w14:paraId="69136CEF">
      <w:pPr>
        <w:ind w:firstLine="708" w:firstLineChars="0"/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  <w:t>2. Документ, подтверждающий наличие дополнительного профессионального образования –  программы профессиональной переподготовки по профилю деятельности</w:t>
      </w:r>
    </w:p>
    <w:p w14:paraId="28505C1E">
      <w:pPr>
        <w:ind w:firstLine="708" w:firstLineChars="0"/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  <w:t xml:space="preserve">3. Документ, подтверждающий наличие опыта практической работы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не менее одного года в должности администратора молодежного пространства</w:t>
      </w:r>
    </w:p>
    <w:p w14:paraId="0D733951">
      <w:pPr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</w:pPr>
    </w:p>
    <w:p w14:paraId="29470623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15. Срок действия свидетельства: 5 лет</w:t>
      </w:r>
    </w:p>
    <w:p w14:paraId="24C3231D">
      <w:pPr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GoBack"/>
      <w:bookmarkEnd w:id="1"/>
    </w:p>
    <w:sectPr>
      <w:pgSz w:w="16837" w:h="11905" w:orient="landscape"/>
      <w:pgMar w:top="1138" w:right="1138" w:bottom="569" w:left="113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-BoldMT">
    <w:altName w:val="Segoe Print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ED6729"/>
    <w:multiLevelType w:val="singleLevel"/>
    <w:tmpl w:val="82ED6729"/>
    <w:lvl w:ilvl="0" w:tentative="0">
      <w:start w:val="1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hideSpellingErrors/>
  <w:hideGrammaticalErrors/>
  <w:documentProtection w:enforcement="0"/>
  <w:defaultTabStop w:val="708"/>
  <w:hyphenationZone w:val="425"/>
  <w:noPunctuationKerning w:val="1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ACC"/>
    <w:rsid w:val="0003057C"/>
    <w:rsid w:val="000B0C36"/>
    <w:rsid w:val="000C332C"/>
    <w:rsid w:val="000D6514"/>
    <w:rsid w:val="000F4D6C"/>
    <w:rsid w:val="000F7C13"/>
    <w:rsid w:val="00120A04"/>
    <w:rsid w:val="001A4FEC"/>
    <w:rsid w:val="001D0BE4"/>
    <w:rsid w:val="002101D2"/>
    <w:rsid w:val="00210EC9"/>
    <w:rsid w:val="00217889"/>
    <w:rsid w:val="00225EF7"/>
    <w:rsid w:val="0023500C"/>
    <w:rsid w:val="002639D1"/>
    <w:rsid w:val="002D3260"/>
    <w:rsid w:val="003164CA"/>
    <w:rsid w:val="0032466A"/>
    <w:rsid w:val="00342346"/>
    <w:rsid w:val="003B0B50"/>
    <w:rsid w:val="003E0614"/>
    <w:rsid w:val="003E3452"/>
    <w:rsid w:val="003F2AB0"/>
    <w:rsid w:val="004709ED"/>
    <w:rsid w:val="005052C0"/>
    <w:rsid w:val="00604255"/>
    <w:rsid w:val="0075622F"/>
    <w:rsid w:val="00763D28"/>
    <w:rsid w:val="007A5D2D"/>
    <w:rsid w:val="008633F0"/>
    <w:rsid w:val="00877940"/>
    <w:rsid w:val="00883A56"/>
    <w:rsid w:val="008D23F4"/>
    <w:rsid w:val="009177B9"/>
    <w:rsid w:val="00925020"/>
    <w:rsid w:val="009919AC"/>
    <w:rsid w:val="00993A76"/>
    <w:rsid w:val="009C268D"/>
    <w:rsid w:val="009D5BD2"/>
    <w:rsid w:val="00A12DC7"/>
    <w:rsid w:val="00A27E3C"/>
    <w:rsid w:val="00A311C7"/>
    <w:rsid w:val="00A36C59"/>
    <w:rsid w:val="00A56F2E"/>
    <w:rsid w:val="00AF0EFE"/>
    <w:rsid w:val="00B53440"/>
    <w:rsid w:val="00B71814"/>
    <w:rsid w:val="00BF0DC1"/>
    <w:rsid w:val="00C12C59"/>
    <w:rsid w:val="00C37C48"/>
    <w:rsid w:val="00C410E1"/>
    <w:rsid w:val="00C43BDD"/>
    <w:rsid w:val="00CA296B"/>
    <w:rsid w:val="00CF0093"/>
    <w:rsid w:val="00D11023"/>
    <w:rsid w:val="00D1424F"/>
    <w:rsid w:val="00D4245A"/>
    <w:rsid w:val="00D42DEF"/>
    <w:rsid w:val="00D95295"/>
    <w:rsid w:val="00E130D6"/>
    <w:rsid w:val="00E3776B"/>
    <w:rsid w:val="00E5383B"/>
    <w:rsid w:val="00E73D01"/>
    <w:rsid w:val="00E836B1"/>
    <w:rsid w:val="00EC0964"/>
    <w:rsid w:val="00EF64F4"/>
    <w:rsid w:val="00F26ACC"/>
    <w:rsid w:val="00F962D6"/>
    <w:rsid w:val="00FC2331"/>
    <w:rsid w:val="00FE1B5B"/>
    <w:rsid w:val="10577F7E"/>
    <w:rsid w:val="10954893"/>
    <w:rsid w:val="19830993"/>
    <w:rsid w:val="2B256A2B"/>
    <w:rsid w:val="300E715A"/>
    <w:rsid w:val="42BE4149"/>
    <w:rsid w:val="459E1E71"/>
    <w:rsid w:val="4860776A"/>
    <w:rsid w:val="5F173E53"/>
    <w:rsid w:val="69ED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qFormat="1" w:unhideWhenUsed="0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iPriority="99" w:semiHidden="0" w:name="List Paragraph"/>
  </w:latentStyles>
  <w:style w:type="paragraph" w:default="1" w:styleId="1">
    <w:name w:val="Normal"/>
    <w:qFormat/>
    <w:uiPriority w:val="0"/>
    <w:rPr>
      <w:rFonts w:ascii="Arial" w:hAnsi="Arial" w:eastAsia="Arial" w:cs="Arial"/>
      <w:lang w:val="en-US" w:eastAsia="ru-RU" w:bidi="ar-SA"/>
    </w:rPr>
  </w:style>
  <w:style w:type="paragraph" w:styleId="2">
    <w:name w:val="heading 1"/>
    <w:basedOn w:val="1"/>
    <w:qFormat/>
    <w:uiPriority w:val="0"/>
    <w:pPr>
      <w:jc w:val="center"/>
      <w:outlineLvl w:val="0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3">
    <w:name w:val="heading 2"/>
    <w:basedOn w:val="1"/>
    <w:qFormat/>
    <w:uiPriority w:val="0"/>
    <w:pPr>
      <w:jc w:val="center"/>
      <w:outlineLvl w:val="1"/>
    </w:pPr>
    <w:rPr>
      <w:rFonts w:ascii="Times New Roman" w:hAnsi="Times New Roman" w:eastAsia="Times New Roman" w:cs="Times New Roman"/>
      <w:sz w:val="24"/>
      <w:szCs w:val="2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otnote reference"/>
    <w:semiHidden/>
    <w:unhideWhenUsed/>
    <w:qFormat/>
    <w:uiPriority w:val="0"/>
    <w:rPr>
      <w:vertAlign w:val="superscript"/>
    </w:rPr>
  </w:style>
  <w:style w:type="character" w:styleId="7">
    <w:name w:val="endnote reference"/>
    <w:basedOn w:val="4"/>
    <w:qFormat/>
    <w:uiPriority w:val="0"/>
    <w:rPr>
      <w:rFonts w:cs="Times New Roman"/>
      <w:vertAlign w:val="superscript"/>
    </w:rPr>
  </w:style>
  <w:style w:type="paragraph" w:styleId="8">
    <w:name w:val="endnote text"/>
    <w:basedOn w:val="1"/>
    <w:link w:val="11"/>
    <w:qFormat/>
    <w:uiPriority w:val="99"/>
    <w:pPr>
      <w:widowControl w:val="0"/>
      <w:jc w:val="both"/>
    </w:pPr>
    <w:rPr>
      <w:rFonts w:ascii="Times New Roman" w:hAnsi="Times New Roman" w:eastAsiaTheme="minorHAnsi" w:cstheme="minorBidi"/>
      <w:szCs w:val="22"/>
      <w:lang w:val="ru-RU" w:eastAsia="en-US"/>
    </w:rPr>
  </w:style>
  <w:style w:type="table" w:styleId="9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myOwnTableStyle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0" w:type="dxa"/>
        <w:bottom w:w="0" w:type="dxa"/>
        <w:right w:w="100" w:type="dxa"/>
      </w:tblCellMar>
    </w:tblPr>
  </w:style>
  <w:style w:type="character" w:customStyle="1" w:styleId="11">
    <w:name w:val="Текст концевой сноски Знак"/>
    <w:basedOn w:val="4"/>
    <w:link w:val="8"/>
    <w:qFormat/>
    <w:uiPriority w:val="99"/>
    <w:rPr>
      <w:rFonts w:eastAsiaTheme="minorHAnsi" w:cstheme="minorBidi"/>
      <w:szCs w:val="22"/>
      <w:lang w:eastAsia="en-US"/>
    </w:rPr>
  </w:style>
  <w:style w:type="paragraph" w:styleId="12">
    <w:name w:val="List Paragraph"/>
    <w:basedOn w:val="1"/>
    <w:unhideWhenUsed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1894</Words>
  <Characters>10802</Characters>
  <Lines>90</Lines>
  <Paragraphs>25</Paragraphs>
  <TotalTime>1</TotalTime>
  <ScaleCrop>false</ScaleCrop>
  <LinksUpToDate>false</LinksUpToDate>
  <CharactersWithSpaces>12671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2026-03-15T00:15:00Z</dcterms:created>
  <dc:creator>WPS_1655888128</dc:creator>
  <cp:lastModifiedBy>antonova</cp:lastModifiedBy>
  <dcterms:modified xsi:type="dcterms:W3CDTF">2026-03-19T16:10:21Z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E5F3790082E84E8CBE019382F1B446DE_12</vt:lpwstr>
  </property>
</Properties>
</file>