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61AC09">
      <w:pPr>
        <w:ind w:left="3969" w:hanging="2693"/>
        <w:jc w:val="center"/>
        <w:rPr>
          <w:sz w:val="28"/>
          <w:szCs w:val="28"/>
        </w:rPr>
      </w:pPr>
      <w:bookmarkStart w:id="0" w:name="_Hlk37674743"/>
      <w:r>
        <w:rPr>
          <w:sz w:val="28"/>
          <w:szCs w:val="28"/>
        </w:rPr>
        <w:t xml:space="preserve"> </w:t>
      </w:r>
    </w:p>
    <w:p w14:paraId="26119CC1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14:paraId="0CB75688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приказом Министерства</w:t>
      </w:r>
    </w:p>
    <w:p w14:paraId="707F5EA5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труда и социальной защиты Российской Федерации</w:t>
      </w:r>
    </w:p>
    <w:p w14:paraId="615EC578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«__» ____________ 202_ г. № ____</w:t>
      </w:r>
    </w:p>
    <w:bookmarkEnd w:id="0"/>
    <w:p w14:paraId="0BCA6B3B"/>
    <w:p w14:paraId="6F8079B7"/>
    <w:p w14:paraId="2ECA6608">
      <w:pPr>
        <w:tabs>
          <w:tab w:val="left" w:pos="3180"/>
        </w:tabs>
        <w:jc w:val="center"/>
        <w:rPr>
          <w:sz w:val="28"/>
          <w:szCs w:val="28"/>
        </w:rPr>
      </w:pPr>
    </w:p>
    <w:p w14:paraId="25B900D2">
      <w:pPr>
        <w:jc w:val="center"/>
        <w:rPr>
          <w:sz w:val="52"/>
          <w:szCs w:val="52"/>
        </w:rPr>
      </w:pPr>
      <w:r>
        <w:rPr>
          <w:sz w:val="52"/>
          <w:szCs w:val="52"/>
        </w:rPr>
        <w:t>ПРОФЕССИОНАЛЬНЫЙ СТАНДАРТ</w:t>
      </w:r>
    </w:p>
    <w:p w14:paraId="45614FCE"/>
    <w:p w14:paraId="413F71AB">
      <w:pPr>
        <w:spacing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Тифлосурдопереводчик</w:t>
      </w:r>
    </w:p>
    <w:p w14:paraId="39F8932D">
      <w:pPr>
        <w:spacing w:after="120"/>
        <w:jc w:val="center"/>
        <w:rPr>
          <w:sz w:val="20"/>
          <w:szCs w:val="20"/>
        </w:rPr>
      </w:pPr>
    </w:p>
    <w:tbl>
      <w:tblPr>
        <w:tblStyle w:val="12"/>
        <w:tblW w:w="1428" w:type="pct"/>
        <w:tblInd w:w="7338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6"/>
      </w:tblGrid>
      <w:tr w14:paraId="0BF98E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5000" w:type="pct"/>
            <w:tcBorders>
              <w:top w:val="single" w:color="7F7F7F" w:sz="2" w:space="0"/>
              <w:left w:val="single" w:color="7F7F7F" w:sz="2" w:space="0"/>
              <w:bottom w:val="single" w:color="7F7F7F" w:sz="2" w:space="0"/>
              <w:right w:val="single" w:color="7F7F7F" w:sz="2" w:space="0"/>
            </w:tcBorders>
            <w:vAlign w:val="center"/>
          </w:tcPr>
          <w:p w14:paraId="1032E7F6">
            <w:pPr>
              <w:jc w:val="center"/>
              <w:rPr>
                <w:iCs/>
              </w:rPr>
            </w:pPr>
          </w:p>
        </w:tc>
      </w:tr>
      <w:tr w14:paraId="14B098A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5000" w:type="pct"/>
            <w:tcBorders>
              <w:top w:val="single" w:color="7F7F7F" w:sz="2" w:space="0"/>
              <w:left w:val="nil"/>
              <w:bottom w:val="nil"/>
              <w:right w:val="nil"/>
            </w:tcBorders>
            <w:vAlign w:val="center"/>
          </w:tcPr>
          <w:p w14:paraId="7FD11F74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Регистрационный номер</w:t>
            </w:r>
          </w:p>
        </w:tc>
      </w:tr>
    </w:tbl>
    <w:p w14:paraId="55DE28A5"/>
    <w:p w14:paraId="46CA2F30">
      <w:pPr>
        <w:jc w:val="center"/>
      </w:pPr>
      <w:r>
        <w:t>Содержание</w:t>
      </w:r>
    </w:p>
    <w:p w14:paraId="558117D5">
      <w:pPr>
        <w:pStyle w:val="27"/>
        <w:rPr>
          <w:rFonts w:asciiTheme="minorHAnsi" w:hAnsiTheme="minorHAnsi" w:eastAsiaTheme="minorEastAsia" w:cstheme="minorBidi"/>
          <w:sz w:val="22"/>
          <w:highlight w:val="none"/>
        </w:rPr>
      </w:pPr>
      <w:r>
        <w:rPr>
          <w:sz w:val="28"/>
        </w:rPr>
        <w:fldChar w:fldCharType="begin"/>
      </w:r>
      <w:r>
        <w:rPr>
          <w:sz w:val="28"/>
        </w:rPr>
        <w:instrText xml:space="preserve"> TOC \o "1-2" \u </w:instrText>
      </w:r>
      <w:r>
        <w:rPr>
          <w:sz w:val="28"/>
        </w:rPr>
        <w:fldChar w:fldCharType="separate"/>
      </w:r>
      <w:r>
        <w:rPr>
          <w:highlight w:val="none"/>
          <w:lang w:val="en-US"/>
        </w:rPr>
        <w:t>I</w:t>
      </w:r>
      <w:r>
        <w:rPr>
          <w:highlight w:val="none"/>
        </w:rPr>
        <w:t>. Общие сведения</w:t>
      </w:r>
      <w:r>
        <w:rPr>
          <w:highlight w:val="none"/>
        </w:rPr>
        <w:tab/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PAGEREF _Toc143792669 \h </w:instrText>
      </w:r>
      <w:r>
        <w:rPr>
          <w:highlight w:val="none"/>
        </w:rPr>
        <w:fldChar w:fldCharType="separate"/>
      </w:r>
      <w:r>
        <w:rPr>
          <w:highlight w:val="none"/>
        </w:rPr>
        <w:t>2</w:t>
      </w:r>
      <w:r>
        <w:rPr>
          <w:highlight w:val="none"/>
        </w:rPr>
        <w:fldChar w:fldCharType="end"/>
      </w:r>
    </w:p>
    <w:p w14:paraId="547C2696">
      <w:pPr>
        <w:pStyle w:val="27"/>
        <w:shd w:val="clear" w:fill="FFFFFF" w:themeFill="background1"/>
        <w:rPr>
          <w:rFonts w:asciiTheme="minorHAnsi" w:hAnsiTheme="minorHAnsi" w:eastAsiaTheme="minorEastAsia" w:cstheme="minorBidi"/>
          <w:sz w:val="22"/>
          <w:highlight w:val="none"/>
        </w:rPr>
      </w:pPr>
      <w:r>
        <w:rPr>
          <w:highlight w:val="none"/>
          <w:lang w:val="en-US"/>
        </w:rPr>
        <w:t>II</w:t>
      </w:r>
      <w:r>
        <w:rPr>
          <w:highlight w:val="none"/>
        </w:rPr>
        <w:t xml:space="preserve">. Описание трудовых функций, входящих в профессиональный стандарт (функциональная карта </w:t>
      </w:r>
      <w:r>
        <w:rPr>
          <w:highlight w:val="none"/>
        </w:rPr>
        <w:t>вида профессиональной деятельности)</w:t>
      </w:r>
      <w:r>
        <w:rPr>
          <w:highlight w:val="none"/>
        </w:rPr>
        <w:tab/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PAGEREF _Toc143792670 \h </w:instrText>
      </w:r>
      <w:r>
        <w:rPr>
          <w:highlight w:val="none"/>
        </w:rPr>
        <w:fldChar w:fldCharType="separate"/>
      </w:r>
      <w:r>
        <w:rPr>
          <w:highlight w:val="none"/>
        </w:rPr>
        <w:t>3</w:t>
      </w:r>
      <w:r>
        <w:rPr>
          <w:highlight w:val="none"/>
        </w:rPr>
        <w:fldChar w:fldCharType="end"/>
      </w:r>
    </w:p>
    <w:p w14:paraId="39E12B06">
      <w:pPr>
        <w:pStyle w:val="27"/>
        <w:shd w:val="clear" w:fill="FFFFFF" w:themeFill="background1"/>
        <w:rPr>
          <w:highlight w:val="none"/>
        </w:rPr>
      </w:pPr>
      <w:r>
        <w:rPr>
          <w:highlight w:val="none"/>
          <w:lang w:val="en-US"/>
        </w:rPr>
        <w:t>III</w:t>
      </w:r>
      <w:r>
        <w:rPr>
          <w:highlight w:val="none"/>
        </w:rPr>
        <w:t>. Характеристика обобщенных трудовых функций</w:t>
      </w:r>
      <w:r>
        <w:rPr>
          <w:highlight w:val="none"/>
        </w:rPr>
        <w:tab/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PAGEREF _Toc143792671 \h </w:instrText>
      </w:r>
      <w:r>
        <w:rPr>
          <w:highlight w:val="none"/>
        </w:rPr>
        <w:fldChar w:fldCharType="separate"/>
      </w:r>
      <w:r>
        <w:rPr>
          <w:highlight w:val="none"/>
        </w:rPr>
        <w:t>4</w:t>
      </w:r>
      <w:r>
        <w:rPr>
          <w:highlight w:val="none"/>
        </w:rPr>
        <w:fldChar w:fldCharType="end"/>
      </w:r>
    </w:p>
    <w:p w14:paraId="0E3C598D">
      <w:pPr>
        <w:shd w:val="clear" w:fill="FFFFFF" w:themeFill="background1"/>
        <w:rPr>
          <w:highlight w:val="none"/>
        </w:rPr>
      </w:pPr>
      <w:r>
        <w:rPr>
          <w:highlight w:val="none"/>
        </w:rPr>
        <w:t>3.1.</w:t>
      </w:r>
      <w:r>
        <w:rPr>
          <w:szCs w:val="24"/>
        </w:rPr>
        <w:t>Сопровождение лиц с одновременными нарушениями зрения и слуха в процессе передвижения и межличностной коммуникации</w:t>
      </w:r>
      <w:r>
        <w:rPr>
          <w:highlight w:val="none"/>
        </w:rPr>
        <w:t>...............................................................................................................4</w:t>
      </w:r>
    </w:p>
    <w:p w14:paraId="3C443DEE">
      <w:pPr>
        <w:shd w:val="clear" w:fill="FFFFFF" w:themeFill="background1"/>
      </w:pPr>
      <w:r>
        <w:rPr>
          <w:highlight w:val="none"/>
        </w:rPr>
        <w:t>3.2.</w:t>
      </w:r>
      <w:r>
        <w:t>Ведение профессионально ориентированного тифлосурдоперевода для лиц с одновременными нарушениями зрения и слуха......................................................................................................</w:t>
      </w:r>
      <w:r>
        <w:rPr>
          <w:rFonts w:hint="default"/>
          <w:lang w:val="ru-RU"/>
        </w:rPr>
        <w:t>.........</w:t>
      </w:r>
      <w:r>
        <w:t>.....</w:t>
      </w:r>
      <w:r>
        <w:rPr>
          <w:rFonts w:hint="default"/>
          <w:lang w:val="ru-RU"/>
        </w:rPr>
        <w:t>10</w:t>
      </w:r>
      <w:r>
        <w:t>.</w:t>
      </w:r>
    </w:p>
    <w:p w14:paraId="2108A6C9">
      <w:pPr>
        <w:rPr>
          <w:rFonts w:hint="default"/>
          <w:lang w:val="ru-RU"/>
        </w:rPr>
      </w:pPr>
      <w:r>
        <w:t>3.3.</w:t>
      </w:r>
      <w:r>
        <w:rPr>
          <w:color w:val="auto"/>
        </w:rPr>
        <w:t>Управление качеством  тифлосурдоперевода и тифлосурдосопровождения  лиц с одновременными нарушениями зрения и слуха</w:t>
      </w:r>
      <w:r>
        <w:t>...........................................</w:t>
      </w:r>
      <w:r>
        <w:rPr>
          <w:rFonts w:hint="default"/>
          <w:lang w:val="ru-RU"/>
        </w:rPr>
        <w:t>..........................................15</w:t>
      </w:r>
    </w:p>
    <w:p w14:paraId="63F31FE5">
      <w:pPr>
        <w:pStyle w:val="27"/>
        <w:rPr>
          <w:rFonts w:asciiTheme="minorHAnsi" w:hAnsiTheme="minorHAnsi" w:eastAsiaTheme="minorEastAsia" w:cstheme="minorBidi"/>
          <w:sz w:val="22"/>
        </w:rPr>
      </w:pPr>
      <w:r>
        <w:rPr>
          <w:lang w:val="en-US"/>
        </w:rPr>
        <w:t>IV</w:t>
      </w:r>
      <w:r>
        <w:t>. Сведения об организациях – разработчиках профессионального стандарта</w:t>
      </w:r>
      <w:r>
        <w:tab/>
      </w:r>
      <w:r>
        <w:rPr>
          <w:rFonts w:hint="default"/>
          <w:lang w:val="ru-RU"/>
        </w:rPr>
        <w:t>19</w:t>
      </w:r>
    </w:p>
    <w:p w14:paraId="011B7AD9">
      <w:pPr>
        <w:pStyle w:val="27"/>
        <w:rPr>
          <w:rFonts w:asciiTheme="minorHAnsi" w:hAnsiTheme="minorHAnsi" w:eastAsiaTheme="minorEastAsia" w:cstheme="minorBidi"/>
          <w:sz w:val="22"/>
        </w:rPr>
      </w:pPr>
      <w:r>
        <w:rPr>
          <w:lang w:val="en-US"/>
        </w:rPr>
        <w:t>V</w:t>
      </w:r>
      <w:r>
        <w:t>. Сокращения, используемые в профессиональном стандарте</w:t>
      </w:r>
      <w:r>
        <w:tab/>
      </w:r>
      <w:r>
        <w:rPr>
          <w:rFonts w:hint="default"/>
          <w:lang w:val="ru-RU"/>
        </w:rPr>
        <w:t>19</w:t>
      </w:r>
      <w:bookmarkStart w:id="8" w:name="_GoBack"/>
      <w:bookmarkEnd w:id="8"/>
    </w:p>
    <w:p w14:paraId="16448477">
      <w:pPr>
        <w:pStyle w:val="47"/>
        <w:ind w:left="0" w:firstLine="709"/>
        <w:rPr>
          <w:sz w:val="28"/>
        </w:rPr>
      </w:pPr>
      <w:r>
        <w:rPr>
          <w:sz w:val="28"/>
        </w:rPr>
        <w:fldChar w:fldCharType="end"/>
      </w:r>
    </w:p>
    <w:p w14:paraId="5D9A9475">
      <w:pPr>
        <w:pStyle w:val="2"/>
        <w:jc w:val="left"/>
      </w:pPr>
      <w:bookmarkStart w:id="1" w:name="_Toc143792669"/>
      <w:r>
        <w:rPr>
          <w:lang w:val="en-US"/>
        </w:rPr>
        <w:t>I</w:t>
      </w:r>
      <w:r>
        <w:t>. Общие сведения</w:t>
      </w:r>
      <w:bookmarkEnd w:id="1"/>
    </w:p>
    <w:p w14:paraId="0E3E3FEF"/>
    <w:tbl>
      <w:tblPr>
        <w:tblStyle w:val="12"/>
        <w:tblW w:w="4897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4"/>
        <w:gridCol w:w="616"/>
        <w:gridCol w:w="1176"/>
      </w:tblGrid>
      <w:tr w14:paraId="12B4792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4121" w:type="pct"/>
            <w:tcBorders>
              <w:top w:val="nil"/>
              <w:left w:val="nil"/>
              <w:bottom w:val="single" w:color="7F7F7F" w:themeColor="background1" w:themeShade="80" w:sz="4" w:space="0"/>
              <w:right w:val="nil"/>
            </w:tcBorders>
          </w:tcPr>
          <w:p w14:paraId="05277384">
            <w:pPr>
              <w:rPr>
                <w:szCs w:val="20"/>
              </w:rPr>
            </w:pPr>
            <w:r>
              <w:t xml:space="preserve">Деятельность по сопровождению лиц с одновременным нарушением зрения и слуха (слепоглухих) и двустороннему переводу </w:t>
            </w:r>
            <w:r>
              <w:rPr>
                <w:i/>
                <w:iCs/>
              </w:rPr>
              <w:t>на жестовый или тактильный жестовый язык</w:t>
            </w:r>
            <w:r>
              <w:t xml:space="preserve"> с помощью различных коммуникационных систем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color="808080" w:sz="4" w:space="0"/>
            </w:tcBorders>
          </w:tcPr>
          <w:p w14:paraId="55875190">
            <w:pPr>
              <w:rPr>
                <w:szCs w:val="20"/>
              </w:rPr>
            </w:pPr>
          </w:p>
        </w:tc>
        <w:tc>
          <w:tcPr>
            <w:tcW w:w="576" w:type="pct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center"/>
          </w:tcPr>
          <w:p w14:paraId="4350ED82">
            <w:pPr>
              <w:jc w:val="center"/>
              <w:rPr>
                <w:szCs w:val="20"/>
              </w:rPr>
            </w:pPr>
          </w:p>
        </w:tc>
      </w:tr>
      <w:tr w14:paraId="15D207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98C0B5">
            <w:pPr>
              <w:jc w:val="center"/>
              <w:rPr>
                <w:sz w:val="18"/>
                <w:szCs w:val="20"/>
              </w:rPr>
            </w:pPr>
            <w:r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576" w:type="pct"/>
            <w:tcBorders>
              <w:top w:val="single" w:color="808080" w:sz="4" w:space="0"/>
              <w:left w:val="nil"/>
              <w:bottom w:val="nil"/>
              <w:right w:val="nil"/>
            </w:tcBorders>
          </w:tcPr>
          <w:p w14:paraId="6F25BD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</w:tr>
    </w:tbl>
    <w:p w14:paraId="35878430"/>
    <w:p w14:paraId="2AE704E6">
      <w:r>
        <w:t>Краткое описание вида профессиональной деятельности</w:t>
      </w:r>
    </w:p>
    <w:p w14:paraId="7BB3AEC3"/>
    <w:tbl>
      <w:tblPr>
        <w:tblStyle w:val="34"/>
        <w:tblW w:w="0" w:type="auto"/>
        <w:tblInd w:w="0" w:type="dxa"/>
        <w:tblBorders>
          <w:top w:val="single" w:color="7F7F7F" w:themeColor="background1" w:themeShade="80" w:sz="4" w:space="0"/>
          <w:left w:val="single" w:color="7F7F7F" w:themeColor="background1" w:themeShade="80" w:sz="4" w:space="0"/>
          <w:bottom w:val="single" w:color="7F7F7F" w:themeColor="background1" w:themeShade="80" w:sz="4" w:space="0"/>
          <w:right w:val="single" w:color="7F7F7F" w:themeColor="background1" w:themeShade="80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95"/>
      </w:tblGrid>
      <w:tr w14:paraId="57002F31">
        <w:tblPrEx>
          <w:tblBorders>
            <w:top w:val="single" w:color="7F7F7F" w:themeColor="background1" w:themeShade="80" w:sz="4" w:space="0"/>
            <w:left w:val="single" w:color="7F7F7F" w:themeColor="background1" w:themeShade="80" w:sz="4" w:space="0"/>
            <w:bottom w:val="single" w:color="7F7F7F" w:themeColor="background1" w:themeShade="80" w:sz="4" w:space="0"/>
            <w:right w:val="single" w:color="7F7F7F" w:themeColor="background1" w:themeShade="8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95" w:type="dxa"/>
          </w:tcPr>
          <w:p w14:paraId="37446C6C">
            <w:r>
              <w:t>Обеспечение свободной мобильности, информационной доступности и коммуникации лиц с одновременными нарушениями зрения и слуха (различной степени) (слепоглухих), использующих различные коммуникационные системы</w:t>
            </w:r>
          </w:p>
        </w:tc>
      </w:tr>
    </w:tbl>
    <w:p w14:paraId="3D1F6156"/>
    <w:p w14:paraId="77E607B7">
      <w:r>
        <w:t>Группа занятий</w:t>
      </w:r>
    </w:p>
    <w:p w14:paraId="4EC2F1C3"/>
    <w:tbl>
      <w:tblPr>
        <w:tblStyle w:val="12"/>
        <w:tblW w:w="10256" w:type="dxa"/>
        <w:tblInd w:w="-49" w:type="dxa"/>
        <w:tblBorders>
          <w:top w:val="single" w:color="auto" w:sz="4" w:space="0"/>
          <w:left w:val="single" w:color="auto" w:sz="4" w:space="0"/>
          <w:bottom w:val="none" w:color="auto" w:sz="0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9"/>
        <w:gridCol w:w="930"/>
        <w:gridCol w:w="4581"/>
        <w:gridCol w:w="866"/>
        <w:gridCol w:w="3807"/>
        <w:gridCol w:w="23"/>
      </w:tblGrid>
      <w:tr w14:paraId="66232068"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9" w:type="dxa"/>
          <w:wAfter w:w="23" w:type="dxa"/>
        </w:trPr>
        <w:tc>
          <w:tcPr>
            <w:tcW w:w="930" w:type="dxa"/>
          </w:tcPr>
          <w:p w14:paraId="27C1B077">
            <w:pPr>
              <w:jc w:val="center"/>
            </w:pPr>
            <w:r>
              <w:rPr>
                <w:rFonts w:eastAsia="SimSun"/>
                <w:szCs w:val="24"/>
                <w:lang w:val="en-US" w:eastAsia="zh-CN" w:bidi="ar"/>
              </w:rPr>
              <w:t>1439</w:t>
            </w:r>
          </w:p>
        </w:tc>
        <w:tc>
          <w:tcPr>
            <w:tcW w:w="4581" w:type="dxa"/>
          </w:tcPr>
          <w:p w14:paraId="4C9B8AEA">
            <w:pPr>
              <w:textAlignment w:val="top"/>
            </w:pPr>
            <w:r>
              <w:rPr>
                <w:rFonts w:eastAsia="SimSun"/>
                <w:szCs w:val="24"/>
                <w:lang w:eastAsia="zh-CN" w:bidi="ar"/>
              </w:rPr>
              <w:t>Руководители иных сфер обслуживания, не входящие в другие группы</w:t>
            </w:r>
          </w:p>
        </w:tc>
        <w:tc>
          <w:tcPr>
            <w:tcW w:w="866" w:type="dxa"/>
          </w:tcPr>
          <w:p w14:paraId="062D0A01">
            <w:pPr>
              <w:jc w:val="center"/>
            </w:pPr>
            <w:r>
              <w:fldChar w:fldCharType="begin"/>
            </w:r>
            <w:r>
              <w:instrText xml:space="preserve"> HYPERLINK "consultantplus://offline/ref=645A54A714646AE6C7D5C231A09DE92FCD4A2B786088D7BEB95825A4042F2C5F4A64A293A20545A8802ED82655A7B2F6963D91D72E9FE99DM9Z2O" \h </w:instrText>
            </w:r>
            <w:r>
              <w:fldChar w:fldCharType="separate"/>
            </w:r>
            <w:r>
              <w:t>2643</w:t>
            </w:r>
            <w:r>
              <w:fldChar w:fldCharType="end"/>
            </w:r>
          </w:p>
        </w:tc>
        <w:tc>
          <w:tcPr>
            <w:tcW w:w="3807" w:type="dxa"/>
          </w:tcPr>
          <w:p w14:paraId="08E5776C">
            <w:r>
              <w:t>Переводчики и другие лингвисты</w:t>
            </w:r>
          </w:p>
        </w:tc>
      </w:tr>
      <w:tr w14:paraId="35C3D66B"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9" w:type="dxa"/>
          <w:wAfter w:w="23" w:type="dxa"/>
        </w:trPr>
        <w:tc>
          <w:tcPr>
            <w:tcW w:w="930" w:type="dxa"/>
          </w:tcPr>
          <w:p w14:paraId="69459B10">
            <w:pPr>
              <w:jc w:val="center"/>
              <w:rPr>
                <w:rFonts w:eastAsia="SimSun"/>
                <w:color w:val="auto"/>
                <w:szCs w:val="24"/>
                <w:lang w:eastAsia="zh-CN" w:bidi="ar"/>
              </w:rPr>
            </w:pPr>
            <w:r>
              <w:rPr>
                <w:rFonts w:eastAsia="SimSun"/>
                <w:color w:val="auto"/>
                <w:szCs w:val="24"/>
                <w:lang w:eastAsia="zh-CN" w:bidi="ar"/>
              </w:rPr>
              <w:t>3412</w:t>
            </w:r>
          </w:p>
        </w:tc>
        <w:tc>
          <w:tcPr>
            <w:tcW w:w="4581" w:type="dxa"/>
          </w:tcPr>
          <w:p w14:paraId="13E56797">
            <w:pPr>
              <w:textAlignment w:val="top"/>
              <w:rPr>
                <w:rFonts w:eastAsia="SimSun"/>
                <w:color w:val="auto"/>
                <w:szCs w:val="24"/>
                <w:lang w:eastAsia="zh-CN" w:bidi="ar"/>
              </w:rPr>
            </w:pPr>
            <w:r>
              <w:rPr>
                <w:rFonts w:eastAsia="SimSun"/>
                <w:color w:val="auto"/>
                <w:szCs w:val="24"/>
                <w:lang w:eastAsia="zh-CN" w:bidi="ar"/>
              </w:rPr>
              <w:t>Социальные работники</w:t>
            </w:r>
          </w:p>
        </w:tc>
        <w:tc>
          <w:tcPr>
            <w:tcW w:w="866" w:type="dxa"/>
          </w:tcPr>
          <w:p w14:paraId="4F67B203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-</w:t>
            </w:r>
          </w:p>
        </w:tc>
        <w:tc>
          <w:tcPr>
            <w:tcW w:w="3807" w:type="dxa"/>
          </w:tcPr>
          <w:p w14:paraId="4A1E77B9">
            <w:pPr>
              <w:rPr>
                <w:color w:val="C00000"/>
              </w:rPr>
            </w:pPr>
            <w:r>
              <w:rPr>
                <w:color w:val="C00000"/>
              </w:rPr>
              <w:t>-</w:t>
            </w:r>
          </w:p>
        </w:tc>
      </w:tr>
      <w:tr w14:paraId="3A0BF10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79" w:type="dxa"/>
            <w:gridSpan w:val="2"/>
            <w:tcBorders>
              <w:top w:val="single" w:color="808080" w:sz="2" w:space="0"/>
              <w:left w:val="nil"/>
              <w:bottom w:val="nil"/>
              <w:right w:val="nil"/>
            </w:tcBorders>
          </w:tcPr>
          <w:p w14:paraId="6C9F1C22">
            <w:pPr>
              <w:jc w:val="center"/>
              <w:rPr>
                <w:sz w:val="18"/>
              </w:rPr>
            </w:pPr>
            <w:r>
              <w:rPr>
                <w:sz w:val="20"/>
              </w:rPr>
              <w:t>(код ОКЗ</w:t>
            </w:r>
            <w:r>
              <w:rPr>
                <w:rStyle w:val="15"/>
                <w:sz w:val="20"/>
              </w:rPr>
              <w:endnoteReference w:id="0"/>
            </w:r>
            <w:r>
              <w:rPr>
                <w:sz w:val="20"/>
              </w:rPr>
              <w:t>)</w:t>
            </w:r>
          </w:p>
        </w:tc>
        <w:tc>
          <w:tcPr>
            <w:tcW w:w="4581" w:type="dxa"/>
            <w:tcBorders>
              <w:top w:val="single" w:color="808080" w:sz="2" w:space="0"/>
              <w:left w:val="nil"/>
              <w:bottom w:val="nil"/>
              <w:right w:val="nil"/>
            </w:tcBorders>
          </w:tcPr>
          <w:p w14:paraId="2F0722D6">
            <w:pPr>
              <w:jc w:val="center"/>
              <w:rPr>
                <w:sz w:val="18"/>
              </w:rPr>
            </w:pPr>
            <w:r>
              <w:rPr>
                <w:sz w:val="20"/>
              </w:rPr>
              <w:t>(наименование)</w:t>
            </w:r>
          </w:p>
        </w:tc>
        <w:tc>
          <w:tcPr>
            <w:tcW w:w="866" w:type="dxa"/>
            <w:tcBorders>
              <w:top w:val="single" w:color="808080" w:sz="2" w:space="0"/>
              <w:left w:val="nil"/>
              <w:bottom w:val="nil"/>
              <w:right w:val="nil"/>
            </w:tcBorders>
          </w:tcPr>
          <w:p w14:paraId="3FD04788">
            <w:pPr>
              <w:jc w:val="center"/>
              <w:rPr>
                <w:sz w:val="18"/>
              </w:rPr>
            </w:pPr>
            <w:r>
              <w:rPr>
                <w:sz w:val="20"/>
              </w:rPr>
              <w:t>(код ОКЗ)</w:t>
            </w:r>
          </w:p>
        </w:tc>
        <w:tc>
          <w:tcPr>
            <w:tcW w:w="3830" w:type="dxa"/>
            <w:gridSpan w:val="2"/>
            <w:tcBorders>
              <w:top w:val="single" w:color="808080" w:sz="2" w:space="0"/>
              <w:left w:val="nil"/>
              <w:bottom w:val="nil"/>
              <w:right w:val="nil"/>
            </w:tcBorders>
          </w:tcPr>
          <w:p w14:paraId="3454F370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(наименование)</w:t>
            </w:r>
          </w:p>
        </w:tc>
      </w:tr>
    </w:tbl>
    <w:p w14:paraId="772A24C7"/>
    <w:p w14:paraId="26D1EFF0">
      <w:r>
        <w:t>Отнесение к области профессиональной деятельности</w:t>
      </w:r>
    </w:p>
    <w:p w14:paraId="5EEE9796"/>
    <w:tbl>
      <w:tblPr>
        <w:tblStyle w:val="12"/>
        <w:tblW w:w="4909" w:type="pct"/>
        <w:tblInd w:w="-3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8731"/>
      </w:tblGrid>
      <w:tr w14:paraId="0344E61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733" w:type="pct"/>
            <w:tcBorders>
              <w:top w:val="single" w:color="808080" w:sz="2" w:space="0"/>
              <w:left w:val="single" w:color="808080" w:sz="2" w:space="0"/>
              <w:bottom w:val="single" w:color="808080" w:sz="2" w:space="0"/>
              <w:right w:val="single" w:color="808080" w:sz="2" w:space="0"/>
            </w:tcBorders>
          </w:tcPr>
          <w:p w14:paraId="023A47B0">
            <w:r>
              <w:t>03</w:t>
            </w:r>
          </w:p>
        </w:tc>
        <w:tc>
          <w:tcPr>
            <w:tcW w:w="4266" w:type="pct"/>
            <w:tcBorders>
              <w:top w:val="single" w:color="808080" w:sz="2" w:space="0"/>
              <w:left w:val="single" w:color="808080" w:sz="2" w:space="0"/>
              <w:bottom w:val="single" w:color="808080" w:sz="2" w:space="0"/>
              <w:right w:val="single" w:color="808080" w:sz="2" w:space="0"/>
            </w:tcBorders>
          </w:tcPr>
          <w:p w14:paraId="10DCD786">
            <w:r>
              <w:t>Социальное обслуживание</w:t>
            </w:r>
          </w:p>
        </w:tc>
      </w:tr>
      <w:tr w14:paraId="334133E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733" w:type="pct"/>
            <w:tcBorders>
              <w:top w:val="single" w:color="808080" w:sz="2" w:space="0"/>
              <w:left w:val="nil"/>
              <w:bottom w:val="nil"/>
              <w:right w:val="nil"/>
            </w:tcBorders>
            <w:vAlign w:val="center"/>
          </w:tcPr>
          <w:p w14:paraId="053B792B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(код ОПД</w:t>
            </w:r>
            <w:r>
              <w:rPr>
                <w:rStyle w:val="15"/>
                <w:sz w:val="20"/>
                <w:szCs w:val="18"/>
              </w:rPr>
              <w:endnoteReference w:id="1"/>
            </w:r>
            <w:r>
              <w:rPr>
                <w:sz w:val="20"/>
                <w:szCs w:val="18"/>
              </w:rPr>
              <w:t>)</w:t>
            </w:r>
          </w:p>
          <w:p w14:paraId="55A40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6" w:type="pct"/>
            <w:tcBorders>
              <w:top w:val="single" w:color="808080" w:sz="2" w:space="0"/>
              <w:left w:val="nil"/>
              <w:bottom w:val="nil"/>
              <w:right w:val="nil"/>
            </w:tcBorders>
            <w:vAlign w:val="center"/>
          </w:tcPr>
          <w:p w14:paraId="110636B8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(наименование области профессиональной деятельности)</w:t>
            </w:r>
          </w:p>
          <w:p w14:paraId="366DF448">
            <w:pPr>
              <w:jc w:val="center"/>
              <w:rPr>
                <w:sz w:val="20"/>
                <w:szCs w:val="18"/>
              </w:rPr>
            </w:pPr>
          </w:p>
        </w:tc>
      </w:tr>
    </w:tbl>
    <w:p w14:paraId="677175F7">
      <w:pPr>
        <w:pStyle w:val="47"/>
        <w:tabs>
          <w:tab w:val="left" w:pos="567"/>
        </w:tabs>
        <w:ind w:left="0" w:firstLine="709"/>
        <w:jc w:val="center"/>
      </w:pPr>
    </w:p>
    <w:p w14:paraId="06C77C65">
      <w:pPr>
        <w:suppressAutoHyphens/>
        <w:rPr>
          <w:szCs w:val="24"/>
        </w:rPr>
      </w:pPr>
      <w:r>
        <w:rPr>
          <w:szCs w:val="24"/>
        </w:rPr>
        <w:t>Отнесение к видам экономической деятельности:</w:t>
      </w:r>
    </w:p>
    <w:p w14:paraId="2DFBE53E">
      <w:pPr>
        <w:suppressAutoHyphens/>
        <w:rPr>
          <w:szCs w:val="24"/>
        </w:rPr>
      </w:pPr>
    </w:p>
    <w:tbl>
      <w:tblPr>
        <w:tblStyle w:val="12"/>
        <w:tblW w:w="10198" w:type="dxa"/>
        <w:tblInd w:w="0" w:type="dxa"/>
        <w:tblBorders>
          <w:top w:val="single" w:color="7F7F7F" w:sz="6" w:space="0"/>
          <w:left w:val="single" w:color="7F7F7F" w:sz="6" w:space="0"/>
          <w:bottom w:val="single" w:color="7F7F7F" w:sz="6" w:space="0"/>
          <w:right w:val="single" w:color="7F7F7F" w:sz="6" w:space="0"/>
          <w:insideH w:val="single" w:color="7F7F7F" w:sz="6" w:space="0"/>
          <w:insideV w:val="single" w:color="7F7F7F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8497"/>
      </w:tblGrid>
      <w:tr w14:paraId="797416C0">
        <w:tblPrEx>
          <w:tblBorders>
            <w:top w:val="single" w:color="7F7F7F" w:sz="6" w:space="0"/>
            <w:left w:val="single" w:color="7F7F7F" w:sz="6" w:space="0"/>
            <w:bottom w:val="single" w:color="7F7F7F" w:sz="6" w:space="0"/>
            <w:right w:val="single" w:color="7F7F7F" w:sz="6" w:space="0"/>
            <w:insideH w:val="single" w:color="7F7F7F" w:sz="6" w:space="0"/>
            <w:insideV w:val="single" w:color="7F7F7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01" w:type="dxa"/>
          </w:tcPr>
          <w:p w14:paraId="339637FE">
            <w:r>
              <w:fldChar w:fldCharType="begin"/>
            </w:r>
            <w:r>
              <w:instrText xml:space="preserve"> HYPERLINK "consultantplus://offline/ref=645A54A714646AE6C7D5C231A09DE92FCA46297E6A8BD7BEB95825A4042F2C5F4A64A293A2014AAD8B2ED82655A7B2F6963D91D72E9FE99DM9Z2O" \h </w:instrText>
            </w:r>
            <w:r>
              <w:fldChar w:fldCharType="separate"/>
            </w:r>
            <w:r>
              <w:t>74.30</w:t>
            </w:r>
            <w:r>
              <w:fldChar w:fldCharType="end"/>
            </w:r>
          </w:p>
        </w:tc>
        <w:tc>
          <w:tcPr>
            <w:tcW w:w="8497" w:type="dxa"/>
          </w:tcPr>
          <w:p w14:paraId="24EED528">
            <w:r>
              <w:t>Деятельность по письменному и устному переводу</w:t>
            </w:r>
          </w:p>
        </w:tc>
      </w:tr>
      <w:tr w14:paraId="4BD8D4DA">
        <w:tblPrEx>
          <w:tblBorders>
            <w:top w:val="single" w:color="7F7F7F" w:sz="6" w:space="0"/>
            <w:left w:val="single" w:color="7F7F7F" w:sz="6" w:space="0"/>
            <w:bottom w:val="single" w:color="7F7F7F" w:sz="6" w:space="0"/>
            <w:right w:val="single" w:color="7F7F7F" w:sz="6" w:space="0"/>
            <w:insideH w:val="single" w:color="7F7F7F" w:sz="6" w:space="0"/>
            <w:insideV w:val="single" w:color="7F7F7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01" w:type="dxa"/>
          </w:tcPr>
          <w:p w14:paraId="7599BEEE">
            <w:r>
              <w:fldChar w:fldCharType="begin"/>
            </w:r>
            <w:r>
              <w:instrText xml:space="preserve"> HYPERLINK "consultantplus://offline/ref=645A54A714646AE6C7D5C231A09DE92FCA46297E6A8BD7BEB95825A4042F2C5F4A64A293A2004BA8822ED82655A7B2F6963D91D72E9FE99DM9Z2O" \h </w:instrText>
            </w:r>
            <w:r>
              <w:fldChar w:fldCharType="separate"/>
            </w:r>
            <w:r>
              <w:t>88.10</w:t>
            </w:r>
            <w:r>
              <w:fldChar w:fldCharType="end"/>
            </w:r>
          </w:p>
        </w:tc>
        <w:tc>
          <w:tcPr>
            <w:tcW w:w="8497" w:type="dxa"/>
          </w:tcPr>
          <w:p w14:paraId="263EA1FB">
            <w:r>
              <w:t>Предоставление социальных услуг без обеспечения проживания престарелым и инвалидам</w:t>
            </w:r>
          </w:p>
        </w:tc>
      </w:tr>
    </w:tbl>
    <w:p w14:paraId="586A91A6">
      <w:pPr>
        <w:suppressAutoHyphens/>
        <w:rPr>
          <w:szCs w:val="24"/>
        </w:rPr>
        <w:sectPr>
          <w:headerReference r:id="rId6" w:type="first"/>
          <w:headerReference r:id="rId4" w:type="default"/>
          <w:headerReference r:id="rId5" w:type="even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 w:num="1"/>
          <w:titlePg/>
          <w:docGrid w:linePitch="360" w:charSpace="0"/>
        </w:sectPr>
      </w:pPr>
      <w:r>
        <w:rPr>
          <w:sz w:val="20"/>
          <w:szCs w:val="20"/>
        </w:rPr>
        <w:t>(код ОКВЭД</w:t>
      </w:r>
      <w:r>
        <w:rPr>
          <w:rStyle w:val="15"/>
          <w:sz w:val="20"/>
          <w:szCs w:val="20"/>
        </w:rPr>
        <w:endnoteReference w:id="2"/>
      </w:r>
      <w:r>
        <w:rPr>
          <w:sz w:val="20"/>
          <w:szCs w:val="20"/>
        </w:rPr>
        <w:t>)                                                     (наименование вида экономической деятельности)</w:t>
      </w:r>
    </w:p>
    <w:p w14:paraId="0B628113"/>
    <w:p w14:paraId="5CFE5B5D"/>
    <w:p w14:paraId="2503F819">
      <w:pPr>
        <w:pStyle w:val="2"/>
      </w:pPr>
      <w:bookmarkStart w:id="2" w:name="_Toc143792670"/>
      <w:r>
        <w:rPr>
          <w:lang w:val="en-US"/>
        </w:rPr>
        <w:t>II</w:t>
      </w:r>
      <w:r>
        <w:t>. Описание трудовых функций, входящих в профессиональный стандарт (функциональная карта вида профессиональной деятельности</w:t>
      </w:r>
      <w:bookmarkEnd w:id="2"/>
      <w:r>
        <w:t>)</w:t>
      </w:r>
    </w:p>
    <w:p w14:paraId="24518D7B"/>
    <w:tbl>
      <w:tblPr>
        <w:tblStyle w:val="12"/>
        <w:tblW w:w="5000" w:type="pct"/>
        <w:tblInd w:w="0" w:type="dxa"/>
        <w:tblBorders>
          <w:top w:val="single" w:color="7F7F7F" w:themeColor="background1" w:themeShade="80" w:sz="4" w:space="0"/>
          <w:left w:val="single" w:color="7F7F7F" w:themeColor="background1" w:themeShade="80" w:sz="4" w:space="0"/>
          <w:bottom w:val="single" w:color="7F7F7F" w:themeColor="background1" w:themeShade="80" w:sz="4" w:space="0"/>
          <w:right w:val="single" w:color="7F7F7F" w:themeColor="background1" w:themeShade="80" w:sz="4" w:space="0"/>
          <w:insideH w:val="single" w:color="7F7F7F" w:themeColor="background1" w:themeShade="80" w:sz="4" w:space="0"/>
          <w:insideV w:val="single" w:color="7F7F7F" w:themeColor="background1" w:themeShade="8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5"/>
        <w:gridCol w:w="3258"/>
        <w:gridCol w:w="1694"/>
        <w:gridCol w:w="2853"/>
        <w:gridCol w:w="3684"/>
        <w:gridCol w:w="876"/>
        <w:gridCol w:w="1846"/>
      </w:tblGrid>
      <w:tr w14:paraId="2881E04E">
        <w:tblPrEx>
          <w:tblBorders>
            <w:top w:val="single" w:color="7F7F7F" w:themeColor="background1" w:themeShade="80" w:sz="4" w:space="0"/>
            <w:left w:val="single" w:color="7F7F7F" w:themeColor="background1" w:themeShade="80" w:sz="4" w:space="0"/>
            <w:bottom w:val="single" w:color="7F7F7F" w:themeColor="background1" w:themeShade="80" w:sz="4" w:space="0"/>
            <w:right w:val="single" w:color="7F7F7F" w:themeColor="background1" w:themeShade="80" w:sz="4" w:space="0"/>
            <w:insideH w:val="single" w:color="7F7F7F" w:themeColor="background1" w:themeShade="80" w:sz="4" w:space="0"/>
            <w:insideV w:val="single" w:color="7F7F7F" w:themeColor="background1" w:themeShade="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3" w:type="pct"/>
            <w:gridSpan w:val="4"/>
            <w:vAlign w:val="center"/>
          </w:tcPr>
          <w:p w14:paraId="67AD7C93">
            <w:pPr>
              <w:jc w:val="center"/>
              <w:rPr>
                <w:szCs w:val="24"/>
              </w:rPr>
            </w:pPr>
            <w:bookmarkStart w:id="3" w:name="_Hlk143788916"/>
            <w:r>
              <w:rPr>
                <w:szCs w:val="24"/>
              </w:rPr>
              <w:t>Обобщенные трудовые функции</w:t>
            </w:r>
          </w:p>
        </w:tc>
        <w:tc>
          <w:tcPr>
            <w:tcW w:w="2166" w:type="pct"/>
            <w:gridSpan w:val="3"/>
            <w:vAlign w:val="center"/>
          </w:tcPr>
          <w:p w14:paraId="05910B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Трудовые функции</w:t>
            </w:r>
          </w:p>
        </w:tc>
      </w:tr>
      <w:tr w14:paraId="2B12AA65">
        <w:tblPrEx>
          <w:tblBorders>
            <w:top w:val="single" w:color="7F7F7F" w:themeColor="background1" w:themeShade="80" w:sz="4" w:space="0"/>
            <w:left w:val="single" w:color="7F7F7F" w:themeColor="background1" w:themeShade="80" w:sz="4" w:space="0"/>
            <w:bottom w:val="single" w:color="7F7F7F" w:themeColor="background1" w:themeShade="80" w:sz="4" w:space="0"/>
            <w:right w:val="single" w:color="7F7F7F" w:themeColor="background1" w:themeShade="80" w:sz="4" w:space="0"/>
            <w:insideH w:val="single" w:color="7F7F7F" w:themeColor="background1" w:themeShade="80" w:sz="4" w:space="0"/>
            <w:insideV w:val="single" w:color="7F7F7F" w:themeColor="background1" w:themeShade="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194" w:type="pct"/>
            <w:vAlign w:val="center"/>
          </w:tcPr>
          <w:p w14:paraId="1986C5D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код</w:t>
            </w:r>
          </w:p>
        </w:tc>
        <w:tc>
          <w:tcPr>
            <w:tcW w:w="1102" w:type="pct"/>
            <w:vAlign w:val="center"/>
          </w:tcPr>
          <w:p w14:paraId="626070B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</w:t>
            </w:r>
          </w:p>
        </w:tc>
        <w:tc>
          <w:tcPr>
            <w:tcW w:w="572" w:type="pct"/>
            <w:vAlign w:val="center"/>
          </w:tcPr>
          <w:p w14:paraId="28D2063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уровень квалификации</w:t>
            </w:r>
          </w:p>
        </w:tc>
        <w:tc>
          <w:tcPr>
            <w:tcW w:w="963" w:type="pct"/>
          </w:tcPr>
          <w:p w14:paraId="1C46042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1246" w:type="pct"/>
            <w:vAlign w:val="center"/>
          </w:tcPr>
          <w:p w14:paraId="4519927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</w:t>
            </w:r>
          </w:p>
        </w:tc>
        <w:tc>
          <w:tcPr>
            <w:tcW w:w="296" w:type="pct"/>
            <w:vAlign w:val="center"/>
          </w:tcPr>
          <w:p w14:paraId="01150B0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код</w:t>
            </w:r>
          </w:p>
        </w:tc>
        <w:tc>
          <w:tcPr>
            <w:tcW w:w="623" w:type="pct"/>
            <w:vAlign w:val="center"/>
          </w:tcPr>
          <w:p w14:paraId="1F556BB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уровень (подуровень) квалификации</w:t>
            </w:r>
          </w:p>
        </w:tc>
      </w:tr>
      <w:tr w14:paraId="28552975">
        <w:tblPrEx>
          <w:tblBorders>
            <w:top w:val="single" w:color="7F7F7F" w:themeColor="background1" w:themeShade="80" w:sz="4" w:space="0"/>
            <w:left w:val="single" w:color="7F7F7F" w:themeColor="background1" w:themeShade="80" w:sz="4" w:space="0"/>
            <w:bottom w:val="single" w:color="7F7F7F" w:themeColor="background1" w:themeShade="80" w:sz="4" w:space="0"/>
            <w:right w:val="single" w:color="7F7F7F" w:themeColor="background1" w:themeShade="80" w:sz="4" w:space="0"/>
            <w:insideH w:val="single" w:color="7F7F7F" w:themeColor="background1" w:themeShade="80" w:sz="4" w:space="0"/>
            <w:insideV w:val="single" w:color="7F7F7F" w:themeColor="background1" w:themeShade="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4" w:type="pct"/>
            <w:vMerge w:val="restart"/>
          </w:tcPr>
          <w:p w14:paraId="061FB24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</w:t>
            </w:r>
          </w:p>
        </w:tc>
        <w:tc>
          <w:tcPr>
            <w:tcW w:w="1102" w:type="pct"/>
            <w:vMerge w:val="restart"/>
          </w:tcPr>
          <w:p w14:paraId="09073E3A">
            <w:pPr>
              <w:rPr>
                <w:szCs w:val="24"/>
              </w:rPr>
            </w:pPr>
            <w:r>
              <w:rPr>
                <w:szCs w:val="24"/>
              </w:rPr>
              <w:t>Сопровождение лиц с одновременными нарушениями зрения и слуха в процессе передвижения и межличностной коммуникации</w:t>
            </w:r>
          </w:p>
        </w:tc>
        <w:tc>
          <w:tcPr>
            <w:tcW w:w="572" w:type="pct"/>
            <w:vMerge w:val="restart"/>
          </w:tcPr>
          <w:p w14:paraId="75EAEC87">
            <w:pPr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5</w:t>
            </w:r>
          </w:p>
        </w:tc>
        <w:tc>
          <w:tcPr>
            <w:tcW w:w="963" w:type="pct"/>
            <w:vMerge w:val="restart"/>
          </w:tcPr>
          <w:p w14:paraId="4B6A960B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Сопровождающий лица с </w:t>
            </w:r>
          </w:p>
          <w:p w14:paraId="71C4B676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одновременным нарушением зрения и слуха</w:t>
            </w:r>
          </w:p>
          <w:p w14:paraId="5080FB1A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Тифлосурдопереводчик</w:t>
            </w:r>
          </w:p>
          <w:p w14:paraId="23CFCD84">
            <w:pPr>
              <w:rPr>
                <w:color w:val="auto"/>
                <w:szCs w:val="24"/>
              </w:rPr>
            </w:pPr>
          </w:p>
        </w:tc>
        <w:tc>
          <w:tcPr>
            <w:tcW w:w="1246" w:type="pct"/>
          </w:tcPr>
          <w:p w14:paraId="760C091B">
            <w:pPr>
              <w:pStyle w:val="23"/>
              <w:rPr>
                <w:szCs w:val="24"/>
              </w:rPr>
            </w:pPr>
            <w:r>
              <w:rPr>
                <w:sz w:val="24"/>
                <w:szCs w:val="24"/>
              </w:rPr>
              <w:t>Сопровождение лица с нарушениями зрения и слуха (слепоглухих) в процессе передвижения по маршруту (к месту назначения, на месте назначения, к месту отправления)</w:t>
            </w:r>
          </w:p>
        </w:tc>
        <w:tc>
          <w:tcPr>
            <w:tcW w:w="296" w:type="pct"/>
          </w:tcPr>
          <w:p w14:paraId="46C64DF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A/01.5</w:t>
            </w:r>
          </w:p>
        </w:tc>
        <w:tc>
          <w:tcPr>
            <w:tcW w:w="623" w:type="pct"/>
          </w:tcPr>
          <w:p w14:paraId="40A8D73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tr w14:paraId="6226B5D7">
        <w:tblPrEx>
          <w:tblBorders>
            <w:top w:val="single" w:color="7F7F7F" w:themeColor="background1" w:themeShade="80" w:sz="4" w:space="0"/>
            <w:left w:val="single" w:color="7F7F7F" w:themeColor="background1" w:themeShade="80" w:sz="4" w:space="0"/>
            <w:bottom w:val="single" w:color="7F7F7F" w:themeColor="background1" w:themeShade="80" w:sz="4" w:space="0"/>
            <w:right w:val="single" w:color="7F7F7F" w:themeColor="background1" w:themeShade="80" w:sz="4" w:space="0"/>
            <w:insideH w:val="single" w:color="7F7F7F" w:themeColor="background1" w:themeShade="80" w:sz="4" w:space="0"/>
            <w:insideV w:val="single" w:color="7F7F7F" w:themeColor="background1" w:themeShade="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4" w:type="pct"/>
            <w:vMerge w:val="continue"/>
          </w:tcPr>
          <w:p w14:paraId="66242420">
            <w:pPr>
              <w:jc w:val="center"/>
              <w:rPr>
                <w:szCs w:val="24"/>
              </w:rPr>
            </w:pPr>
          </w:p>
        </w:tc>
        <w:tc>
          <w:tcPr>
            <w:tcW w:w="1102" w:type="pct"/>
            <w:vMerge w:val="continue"/>
          </w:tcPr>
          <w:p w14:paraId="138AC96D">
            <w:pPr>
              <w:rPr>
                <w:szCs w:val="24"/>
              </w:rPr>
            </w:pPr>
          </w:p>
        </w:tc>
        <w:tc>
          <w:tcPr>
            <w:tcW w:w="572" w:type="pct"/>
            <w:vMerge w:val="continue"/>
          </w:tcPr>
          <w:p w14:paraId="4E5E205B">
            <w:pPr>
              <w:jc w:val="center"/>
              <w:rPr>
                <w:szCs w:val="24"/>
              </w:rPr>
            </w:pPr>
          </w:p>
        </w:tc>
        <w:tc>
          <w:tcPr>
            <w:tcW w:w="963" w:type="pct"/>
            <w:vMerge w:val="continue"/>
          </w:tcPr>
          <w:p w14:paraId="0C0C2106">
            <w:pPr>
              <w:rPr>
                <w:szCs w:val="24"/>
              </w:rPr>
            </w:pPr>
          </w:p>
        </w:tc>
        <w:tc>
          <w:tcPr>
            <w:tcW w:w="1246" w:type="pct"/>
          </w:tcPr>
          <w:p w14:paraId="485B8E1D">
            <w:pPr>
              <w:pStyle w:val="23"/>
              <w:rPr>
                <w:color w:val="auto"/>
                <w:szCs w:val="24"/>
              </w:rPr>
            </w:pPr>
            <w:r>
              <w:rPr>
                <w:color w:val="auto"/>
                <w:sz w:val="24"/>
              </w:rPr>
              <w:t xml:space="preserve">Социальное сопровождение  </w:t>
            </w:r>
            <w:r>
              <w:rPr>
                <w:color w:val="auto"/>
                <w:sz w:val="24"/>
                <w:szCs w:val="24"/>
              </w:rPr>
              <w:t>лица с нарушениями зрения и слуха (слепоглухого)</w:t>
            </w:r>
          </w:p>
        </w:tc>
        <w:tc>
          <w:tcPr>
            <w:tcW w:w="296" w:type="pct"/>
          </w:tcPr>
          <w:p w14:paraId="7B67CB7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A/02.5</w:t>
            </w:r>
          </w:p>
        </w:tc>
        <w:tc>
          <w:tcPr>
            <w:tcW w:w="623" w:type="pct"/>
          </w:tcPr>
          <w:p w14:paraId="57F4B73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tr w14:paraId="50F550D0">
        <w:tblPrEx>
          <w:tblBorders>
            <w:top w:val="single" w:color="7F7F7F" w:themeColor="background1" w:themeShade="80" w:sz="4" w:space="0"/>
            <w:left w:val="single" w:color="7F7F7F" w:themeColor="background1" w:themeShade="80" w:sz="4" w:space="0"/>
            <w:bottom w:val="single" w:color="7F7F7F" w:themeColor="background1" w:themeShade="80" w:sz="4" w:space="0"/>
            <w:right w:val="single" w:color="7F7F7F" w:themeColor="background1" w:themeShade="80" w:sz="4" w:space="0"/>
            <w:insideH w:val="single" w:color="7F7F7F" w:themeColor="background1" w:themeShade="80" w:sz="4" w:space="0"/>
            <w:insideV w:val="single" w:color="7F7F7F" w:themeColor="background1" w:themeShade="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94" w:type="pct"/>
            <w:vMerge w:val="continue"/>
          </w:tcPr>
          <w:p w14:paraId="021ADDAA">
            <w:pPr>
              <w:jc w:val="center"/>
              <w:rPr>
                <w:szCs w:val="24"/>
              </w:rPr>
            </w:pPr>
          </w:p>
        </w:tc>
        <w:tc>
          <w:tcPr>
            <w:tcW w:w="1102" w:type="pct"/>
            <w:vMerge w:val="continue"/>
          </w:tcPr>
          <w:p w14:paraId="5BB66D17">
            <w:pPr>
              <w:rPr>
                <w:szCs w:val="24"/>
              </w:rPr>
            </w:pPr>
          </w:p>
        </w:tc>
        <w:tc>
          <w:tcPr>
            <w:tcW w:w="572" w:type="pct"/>
            <w:vMerge w:val="continue"/>
          </w:tcPr>
          <w:p w14:paraId="0083FD41">
            <w:pPr>
              <w:jc w:val="center"/>
              <w:rPr>
                <w:szCs w:val="24"/>
              </w:rPr>
            </w:pPr>
          </w:p>
        </w:tc>
        <w:tc>
          <w:tcPr>
            <w:tcW w:w="963" w:type="pct"/>
            <w:vMerge w:val="continue"/>
          </w:tcPr>
          <w:p w14:paraId="62974E53">
            <w:pPr>
              <w:rPr>
                <w:szCs w:val="24"/>
              </w:rPr>
            </w:pPr>
          </w:p>
        </w:tc>
        <w:tc>
          <w:tcPr>
            <w:tcW w:w="1246" w:type="pct"/>
          </w:tcPr>
          <w:p w14:paraId="30F94429">
            <w:pPr>
              <w:pStyle w:val="23"/>
              <w:rPr>
                <w:strike/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</w:rPr>
              <w:t>Тифлосурдокомментирование с целью обеспечения информационной доступности окружающей среды</w:t>
            </w:r>
          </w:p>
        </w:tc>
        <w:tc>
          <w:tcPr>
            <w:tcW w:w="296" w:type="pct"/>
          </w:tcPr>
          <w:p w14:paraId="05275E9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А/03.5</w:t>
            </w:r>
          </w:p>
        </w:tc>
        <w:tc>
          <w:tcPr>
            <w:tcW w:w="623" w:type="pct"/>
          </w:tcPr>
          <w:p w14:paraId="5263926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tr w14:paraId="7ABEB4B7">
        <w:tblPrEx>
          <w:tblBorders>
            <w:top w:val="single" w:color="7F7F7F" w:themeColor="background1" w:themeShade="80" w:sz="4" w:space="0"/>
            <w:left w:val="single" w:color="7F7F7F" w:themeColor="background1" w:themeShade="80" w:sz="4" w:space="0"/>
            <w:bottom w:val="single" w:color="7F7F7F" w:themeColor="background1" w:themeShade="80" w:sz="4" w:space="0"/>
            <w:right w:val="single" w:color="7F7F7F" w:themeColor="background1" w:themeShade="80" w:sz="4" w:space="0"/>
            <w:insideH w:val="single" w:color="7F7F7F" w:themeColor="background1" w:themeShade="80" w:sz="4" w:space="0"/>
            <w:insideV w:val="single" w:color="7F7F7F" w:themeColor="background1" w:themeShade="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4" w:type="pct"/>
            <w:vMerge w:val="restart"/>
          </w:tcPr>
          <w:p w14:paraId="6E2A27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</w:t>
            </w:r>
          </w:p>
        </w:tc>
        <w:tc>
          <w:tcPr>
            <w:tcW w:w="1102" w:type="pct"/>
            <w:vMerge w:val="restart"/>
          </w:tcPr>
          <w:p w14:paraId="622763B2">
            <w:pPr>
              <w:rPr>
                <w:szCs w:val="24"/>
              </w:rPr>
            </w:pPr>
            <w:r>
              <w:t>Ведение профессионально ориентированного тифлосурдоперевода для лиц с одновременными нарушениями зрения и слуха</w:t>
            </w:r>
          </w:p>
        </w:tc>
        <w:tc>
          <w:tcPr>
            <w:tcW w:w="572" w:type="pct"/>
            <w:vMerge w:val="restart"/>
          </w:tcPr>
          <w:p w14:paraId="1C289A2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963" w:type="pct"/>
            <w:vMerge w:val="restart"/>
          </w:tcPr>
          <w:p w14:paraId="55AC14F3">
            <w:pPr>
              <w:rPr>
                <w:szCs w:val="24"/>
              </w:rPr>
            </w:pPr>
            <w:r>
              <w:rPr>
                <w:szCs w:val="24"/>
              </w:rPr>
              <w:t xml:space="preserve">Тифлосурдопереводчик </w:t>
            </w:r>
            <w:r>
              <w:rPr>
                <w:szCs w:val="24"/>
                <w:lang w:val="en-US"/>
              </w:rPr>
              <w:t>II</w:t>
            </w:r>
            <w:r>
              <w:rPr>
                <w:szCs w:val="24"/>
              </w:rPr>
              <w:t xml:space="preserve"> категории</w:t>
            </w:r>
          </w:p>
          <w:p w14:paraId="5CAD9E22">
            <w:pPr>
              <w:rPr>
                <w:szCs w:val="24"/>
              </w:rPr>
            </w:pPr>
            <w:r>
              <w:rPr>
                <w:szCs w:val="24"/>
              </w:rPr>
              <w:t xml:space="preserve">Тифлосурдопереводчик </w:t>
            </w:r>
            <w:r>
              <w:rPr>
                <w:szCs w:val="24"/>
                <w:lang w:val="en-US"/>
              </w:rPr>
              <w:t>I</w:t>
            </w:r>
            <w:r>
              <w:rPr>
                <w:szCs w:val="24"/>
              </w:rPr>
              <w:t xml:space="preserve"> категории</w:t>
            </w:r>
          </w:p>
          <w:p w14:paraId="0B985665">
            <w:pPr>
              <w:rPr>
                <w:szCs w:val="24"/>
              </w:rPr>
            </w:pPr>
            <w:r>
              <w:t>Тифлосурдопереводчик высшей категории</w:t>
            </w:r>
          </w:p>
        </w:tc>
        <w:tc>
          <w:tcPr>
            <w:tcW w:w="1246" w:type="pct"/>
          </w:tcPr>
          <w:p w14:paraId="6E372493">
            <w:pPr>
              <w:pStyle w:val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едение тифлосурдоперевода 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(сопроводительного и последовательного) 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 использованием различн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специализированных систем</w:t>
            </w:r>
          </w:p>
        </w:tc>
        <w:tc>
          <w:tcPr>
            <w:tcW w:w="296" w:type="pct"/>
          </w:tcPr>
          <w:p w14:paraId="54830AF8">
            <w:pPr>
              <w:pStyle w:val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В/01.6</w:t>
            </w:r>
          </w:p>
        </w:tc>
        <w:tc>
          <w:tcPr>
            <w:tcW w:w="623" w:type="pct"/>
          </w:tcPr>
          <w:p w14:paraId="4248B7C4">
            <w:pPr>
              <w:pStyle w:val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14:paraId="47D0AA81">
        <w:tblPrEx>
          <w:tblBorders>
            <w:top w:val="single" w:color="7F7F7F" w:themeColor="background1" w:themeShade="80" w:sz="4" w:space="0"/>
            <w:left w:val="single" w:color="7F7F7F" w:themeColor="background1" w:themeShade="80" w:sz="4" w:space="0"/>
            <w:bottom w:val="single" w:color="7F7F7F" w:themeColor="background1" w:themeShade="80" w:sz="4" w:space="0"/>
            <w:right w:val="single" w:color="7F7F7F" w:themeColor="background1" w:themeShade="80" w:sz="4" w:space="0"/>
            <w:insideH w:val="single" w:color="7F7F7F" w:themeColor="background1" w:themeShade="80" w:sz="4" w:space="0"/>
            <w:insideV w:val="single" w:color="7F7F7F" w:themeColor="background1" w:themeShade="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4" w:type="pct"/>
            <w:vMerge w:val="continue"/>
          </w:tcPr>
          <w:p w14:paraId="1DA61814">
            <w:pPr>
              <w:jc w:val="center"/>
              <w:rPr>
                <w:szCs w:val="24"/>
              </w:rPr>
            </w:pPr>
          </w:p>
        </w:tc>
        <w:tc>
          <w:tcPr>
            <w:tcW w:w="1102" w:type="pct"/>
            <w:vMerge w:val="continue"/>
          </w:tcPr>
          <w:p w14:paraId="6C2AC199">
            <w:pPr>
              <w:rPr>
                <w:szCs w:val="24"/>
              </w:rPr>
            </w:pPr>
          </w:p>
        </w:tc>
        <w:tc>
          <w:tcPr>
            <w:tcW w:w="572" w:type="pct"/>
            <w:vMerge w:val="continue"/>
          </w:tcPr>
          <w:p w14:paraId="3F520983">
            <w:pPr>
              <w:jc w:val="center"/>
              <w:rPr>
                <w:szCs w:val="24"/>
              </w:rPr>
            </w:pPr>
          </w:p>
        </w:tc>
        <w:tc>
          <w:tcPr>
            <w:tcW w:w="963" w:type="pct"/>
            <w:vMerge w:val="continue"/>
          </w:tcPr>
          <w:p w14:paraId="4943C06E">
            <w:pPr>
              <w:rPr>
                <w:szCs w:val="24"/>
              </w:rPr>
            </w:pPr>
          </w:p>
        </w:tc>
        <w:tc>
          <w:tcPr>
            <w:tcW w:w="1246" w:type="pct"/>
          </w:tcPr>
          <w:p w14:paraId="5F27F7D9">
            <w:pPr>
              <w:pStyle w:val="23"/>
              <w:rPr>
                <w:color w:val="C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Ведение синхронного </w:t>
            </w:r>
            <w:r>
              <w:rPr>
                <w:color w:val="C00000"/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двустороннего перевода с учетом специфики лиц с одновременным нарушением зрения и слуха</w:t>
            </w:r>
            <w:r>
              <w:rPr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296" w:type="pct"/>
          </w:tcPr>
          <w:p w14:paraId="1929D93E">
            <w:pPr>
              <w:pStyle w:val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В/02.6</w:t>
            </w:r>
          </w:p>
        </w:tc>
        <w:tc>
          <w:tcPr>
            <w:tcW w:w="623" w:type="pct"/>
          </w:tcPr>
          <w:p w14:paraId="757FEDBF">
            <w:pPr>
              <w:pStyle w:val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14:paraId="41E64EEB">
        <w:tblPrEx>
          <w:tblBorders>
            <w:top w:val="single" w:color="7F7F7F" w:themeColor="background1" w:themeShade="80" w:sz="4" w:space="0"/>
            <w:left w:val="single" w:color="7F7F7F" w:themeColor="background1" w:themeShade="80" w:sz="4" w:space="0"/>
            <w:bottom w:val="single" w:color="7F7F7F" w:themeColor="background1" w:themeShade="80" w:sz="4" w:space="0"/>
            <w:right w:val="single" w:color="7F7F7F" w:themeColor="background1" w:themeShade="80" w:sz="4" w:space="0"/>
            <w:insideH w:val="single" w:color="7F7F7F" w:themeColor="background1" w:themeShade="80" w:sz="4" w:space="0"/>
            <w:insideV w:val="single" w:color="7F7F7F" w:themeColor="background1" w:themeShade="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4" w:type="pct"/>
            <w:vMerge w:val="restart"/>
          </w:tcPr>
          <w:p w14:paraId="2B29E2E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</w:t>
            </w:r>
          </w:p>
        </w:tc>
        <w:tc>
          <w:tcPr>
            <w:tcW w:w="1102" w:type="pct"/>
            <w:vMerge w:val="restart"/>
          </w:tcPr>
          <w:p w14:paraId="00F312DD">
            <w:pPr>
              <w:rPr>
                <w:szCs w:val="24"/>
              </w:rPr>
            </w:pPr>
            <w:r>
              <w:rPr>
                <w:color w:val="auto"/>
              </w:rPr>
              <w:t>Управление качеством  тифлосурдоперевода и тифлосурдосопровождения  лиц с одновременными нарушениями зрения и слуха</w:t>
            </w:r>
          </w:p>
        </w:tc>
        <w:tc>
          <w:tcPr>
            <w:tcW w:w="572" w:type="pct"/>
            <w:vMerge w:val="restart"/>
          </w:tcPr>
          <w:p w14:paraId="082752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963" w:type="pct"/>
            <w:vMerge w:val="restart"/>
          </w:tcPr>
          <w:p w14:paraId="6685210B">
            <w:pPr>
              <w:rPr>
                <w:color w:val="auto"/>
                <w:szCs w:val="24"/>
              </w:rPr>
            </w:pPr>
            <w:r>
              <w:rPr>
                <w:rFonts w:eastAsia="SimSun"/>
                <w:color w:val="auto"/>
                <w:szCs w:val="24"/>
                <w:lang w:eastAsia="zh-CN" w:bidi="ar"/>
              </w:rPr>
              <w:t xml:space="preserve">Специалист по качеству тифлосурдоперевода </w:t>
            </w:r>
            <w:r>
              <w:rPr>
                <w:color w:val="auto"/>
                <w:szCs w:val="24"/>
              </w:rPr>
              <w:t>Тифлосурдопереводчик-наставник</w:t>
            </w:r>
          </w:p>
        </w:tc>
        <w:tc>
          <w:tcPr>
            <w:tcW w:w="1246" w:type="pct"/>
          </w:tcPr>
          <w:p w14:paraId="1C519B8F">
            <w:pPr>
              <w:rPr>
                <w:szCs w:val="24"/>
              </w:rPr>
            </w:pPr>
            <w:r>
              <w:rPr>
                <w:rFonts w:eastAsia="SimSun"/>
                <w:szCs w:val="24"/>
              </w:rPr>
              <w:t xml:space="preserve">Консультирование в области тифлосурдоперевода и наставничество тифлосурдопереводчиков </w:t>
            </w:r>
            <w:r>
              <w:t xml:space="preserve"> </w:t>
            </w:r>
          </w:p>
        </w:tc>
        <w:tc>
          <w:tcPr>
            <w:tcW w:w="296" w:type="pct"/>
          </w:tcPr>
          <w:p w14:paraId="01C97A65">
            <w:pPr>
              <w:pStyle w:val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С/01.7</w:t>
            </w:r>
          </w:p>
        </w:tc>
        <w:tc>
          <w:tcPr>
            <w:tcW w:w="623" w:type="pct"/>
          </w:tcPr>
          <w:p w14:paraId="29692612">
            <w:pPr>
              <w:pStyle w:val="60"/>
              <w:jc w:val="center"/>
            </w:pPr>
            <w:r>
              <w:t>7</w:t>
            </w:r>
          </w:p>
        </w:tc>
      </w:tr>
      <w:tr w14:paraId="5B2B7BC0">
        <w:tblPrEx>
          <w:tblBorders>
            <w:top w:val="single" w:color="7F7F7F" w:themeColor="background1" w:themeShade="80" w:sz="4" w:space="0"/>
            <w:left w:val="single" w:color="7F7F7F" w:themeColor="background1" w:themeShade="80" w:sz="4" w:space="0"/>
            <w:bottom w:val="single" w:color="7F7F7F" w:themeColor="background1" w:themeShade="80" w:sz="4" w:space="0"/>
            <w:right w:val="single" w:color="7F7F7F" w:themeColor="background1" w:themeShade="80" w:sz="4" w:space="0"/>
            <w:insideH w:val="single" w:color="7F7F7F" w:themeColor="background1" w:themeShade="80" w:sz="4" w:space="0"/>
            <w:insideV w:val="single" w:color="7F7F7F" w:themeColor="background1" w:themeShade="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4" w:type="pct"/>
            <w:vMerge w:val="continue"/>
          </w:tcPr>
          <w:p w14:paraId="3B6E57B3">
            <w:pPr>
              <w:jc w:val="center"/>
              <w:rPr>
                <w:szCs w:val="24"/>
              </w:rPr>
            </w:pPr>
          </w:p>
        </w:tc>
        <w:tc>
          <w:tcPr>
            <w:tcW w:w="1102" w:type="pct"/>
            <w:vMerge w:val="continue"/>
          </w:tcPr>
          <w:p w14:paraId="13274F10">
            <w:pPr>
              <w:rPr>
                <w:szCs w:val="24"/>
              </w:rPr>
            </w:pPr>
          </w:p>
        </w:tc>
        <w:tc>
          <w:tcPr>
            <w:tcW w:w="572" w:type="pct"/>
            <w:vMerge w:val="continue"/>
          </w:tcPr>
          <w:p w14:paraId="6610D4E7">
            <w:pPr>
              <w:jc w:val="center"/>
              <w:rPr>
                <w:szCs w:val="24"/>
              </w:rPr>
            </w:pPr>
          </w:p>
        </w:tc>
        <w:tc>
          <w:tcPr>
            <w:tcW w:w="963" w:type="pct"/>
            <w:vMerge w:val="continue"/>
          </w:tcPr>
          <w:p w14:paraId="2EC495AF">
            <w:pPr>
              <w:rPr>
                <w:szCs w:val="24"/>
              </w:rPr>
            </w:pPr>
          </w:p>
        </w:tc>
        <w:tc>
          <w:tcPr>
            <w:tcW w:w="1246" w:type="pct"/>
          </w:tcPr>
          <w:p w14:paraId="46AF2667">
            <w:pPr>
              <w:rPr>
                <w:szCs w:val="24"/>
              </w:rPr>
            </w:pPr>
            <w:r>
              <w:rPr>
                <w:color w:val="auto"/>
                <w:szCs w:val="24"/>
              </w:rPr>
              <w:t>Контроль качества тифлосурдоперевода</w:t>
            </w:r>
          </w:p>
        </w:tc>
        <w:tc>
          <w:tcPr>
            <w:tcW w:w="296" w:type="pct"/>
          </w:tcPr>
          <w:p w14:paraId="4861105D">
            <w:pPr>
              <w:pStyle w:val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С/02.7</w:t>
            </w:r>
          </w:p>
        </w:tc>
        <w:tc>
          <w:tcPr>
            <w:tcW w:w="623" w:type="pct"/>
          </w:tcPr>
          <w:p w14:paraId="4EBD9C8C">
            <w:pPr>
              <w:pStyle w:val="60"/>
              <w:jc w:val="center"/>
            </w:pPr>
            <w:r>
              <w:t>7</w:t>
            </w:r>
          </w:p>
        </w:tc>
      </w:tr>
      <w:bookmarkEnd w:id="3"/>
    </w:tbl>
    <w:p w14:paraId="2E376D3C"/>
    <w:p w14:paraId="1F6673A3">
      <w:pPr>
        <w:rPr>
          <w:b/>
          <w:sz w:val="28"/>
        </w:rPr>
      </w:pPr>
      <w:r>
        <w:br w:type="page"/>
      </w:r>
    </w:p>
    <w:p w14:paraId="386EE9B7">
      <w:pPr>
        <w:pStyle w:val="47"/>
        <w:ind w:left="360"/>
        <w:rPr>
          <w:b/>
          <w:sz w:val="28"/>
        </w:rPr>
        <w:sectPr>
          <w:headerReference r:id="rId7" w:type="default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 w:num="1"/>
          <w:docGrid w:linePitch="360" w:charSpace="0"/>
        </w:sectPr>
      </w:pPr>
    </w:p>
    <w:p w14:paraId="1208DF7C">
      <w:pPr>
        <w:pStyle w:val="2"/>
      </w:pPr>
      <w:bookmarkStart w:id="4" w:name="_Toc143792671"/>
      <w:r>
        <w:rPr>
          <w:lang w:val="en-US"/>
        </w:rPr>
        <w:t>III</w:t>
      </w:r>
      <w:r>
        <w:t>. Характеристика обобщенных трудовых функций</w:t>
      </w:r>
      <w:bookmarkEnd w:id="4"/>
    </w:p>
    <w:p w14:paraId="79724EE4"/>
    <w:p w14:paraId="31497F88">
      <w:pPr>
        <w:pStyle w:val="3"/>
      </w:pPr>
      <w:bookmarkStart w:id="5" w:name="_Toc143792672"/>
      <w:r>
        <w:t>3.1. Обобщенная трудовая функция</w:t>
      </w:r>
      <w:bookmarkEnd w:id="5"/>
    </w:p>
    <w:p w14:paraId="6BAE643D"/>
    <w:tbl>
      <w:tblPr>
        <w:tblStyle w:val="12"/>
        <w:tblW w:w="4951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5"/>
        <w:gridCol w:w="4582"/>
        <w:gridCol w:w="714"/>
        <w:gridCol w:w="749"/>
        <w:gridCol w:w="1581"/>
        <w:gridCol w:w="1189"/>
      </w:tblGrid>
      <w:tr w14:paraId="3A85E93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29" w:type="pct"/>
            <w:tcBorders>
              <w:top w:val="nil"/>
              <w:bottom w:val="nil"/>
              <w:right w:val="single" w:color="7F7F7F" w:themeColor="background1" w:themeShade="80" w:sz="4" w:space="0"/>
            </w:tcBorders>
            <w:vAlign w:val="center"/>
          </w:tcPr>
          <w:p w14:paraId="1C485E37">
            <w:pPr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20" w:type="pct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</w:tcPr>
          <w:p w14:paraId="1F5326BE">
            <w:pPr>
              <w:rPr>
                <w:szCs w:val="24"/>
              </w:rPr>
            </w:pPr>
            <w:r>
              <w:rPr>
                <w:szCs w:val="24"/>
              </w:rPr>
              <w:t>Сопровождение лиц с одновременными нарушениями зрения и слуха в процессе передвижения и межличностной коммуникации</w:t>
            </w:r>
          </w:p>
        </w:tc>
        <w:tc>
          <w:tcPr>
            <w:tcW w:w="346" w:type="pct"/>
            <w:tcBorders>
              <w:top w:val="nil"/>
              <w:left w:val="single" w:color="7F7F7F" w:themeColor="background1" w:themeShade="80" w:sz="4" w:space="0"/>
              <w:bottom w:val="nil"/>
              <w:right w:val="single" w:color="7F7F7F" w:themeColor="background1" w:themeShade="80" w:sz="4" w:space="0"/>
            </w:tcBorders>
            <w:vAlign w:val="center"/>
          </w:tcPr>
          <w:p w14:paraId="54021ACB">
            <w:pPr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>Код</w:t>
            </w:r>
          </w:p>
        </w:tc>
        <w:tc>
          <w:tcPr>
            <w:tcW w:w="363" w:type="pct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  <w:vAlign w:val="center"/>
          </w:tcPr>
          <w:p w14:paraId="6FCABA6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</w:t>
            </w:r>
          </w:p>
        </w:tc>
        <w:tc>
          <w:tcPr>
            <w:tcW w:w="766" w:type="pct"/>
            <w:tcBorders>
              <w:top w:val="nil"/>
              <w:left w:val="single" w:color="7F7F7F" w:themeColor="background1" w:themeShade="80" w:sz="4" w:space="0"/>
              <w:bottom w:val="nil"/>
              <w:right w:val="single" w:color="7F7F7F" w:themeColor="background1" w:themeShade="80" w:sz="4" w:space="0"/>
            </w:tcBorders>
            <w:vAlign w:val="center"/>
          </w:tcPr>
          <w:p w14:paraId="4F5F0240">
            <w:pPr>
              <w:jc w:val="center"/>
              <w:rPr>
                <w:sz w:val="18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576" w:type="pct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  <w:vAlign w:val="center"/>
          </w:tcPr>
          <w:p w14:paraId="0AE627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</w:tbl>
    <w:p w14:paraId="3E51822E"/>
    <w:tbl>
      <w:tblPr>
        <w:tblStyle w:val="12"/>
        <w:tblW w:w="4954" w:type="pct"/>
        <w:tblInd w:w="-5" w:type="dxa"/>
        <w:tblBorders>
          <w:top w:val="single" w:color="808080" w:sz="4" w:space="0"/>
          <w:left w:val="none" w:color="auto" w:sz="0" w:space="0"/>
          <w:bottom w:val="single" w:color="808080" w:sz="4" w:space="0"/>
          <w:right w:val="none" w:color="auto" w:sz="0" w:space="0"/>
          <w:insideH w:val="single" w:color="808080" w:sz="4" w:space="0"/>
          <w:insideV w:val="single" w:color="80808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0"/>
        <w:gridCol w:w="8006"/>
      </w:tblGrid>
      <w:tr w14:paraId="625EE63A">
        <w:tblPrEx>
          <w:tblBorders>
            <w:top w:val="single" w:color="808080" w:sz="4" w:space="0"/>
            <w:left w:val="none" w:color="auto" w:sz="0" w:space="0"/>
            <w:bottom w:val="single" w:color="808080" w:sz="4" w:space="0"/>
            <w:right w:val="none" w:color="auto" w:sz="0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123" w:type="pct"/>
            <w:tcBorders>
              <w:left w:val="single" w:color="808080" w:sz="4" w:space="0"/>
            </w:tcBorders>
            <w:vAlign w:val="center"/>
          </w:tcPr>
          <w:p w14:paraId="57FC0151">
            <w:pPr>
              <w:rPr>
                <w:szCs w:val="20"/>
              </w:rPr>
            </w:pPr>
            <w:r>
              <w:rPr>
                <w:szCs w:val="20"/>
              </w:rPr>
              <w:t>Возможные наименования должностей, профессий рабочих</w:t>
            </w:r>
          </w:p>
        </w:tc>
        <w:tc>
          <w:tcPr>
            <w:tcW w:w="3877" w:type="pct"/>
            <w:tcBorders>
              <w:right w:val="single" w:color="808080" w:sz="4" w:space="0"/>
            </w:tcBorders>
          </w:tcPr>
          <w:p w14:paraId="5264C042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Сопровождающий лица с </w:t>
            </w:r>
          </w:p>
          <w:p w14:paraId="2E59B896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одновременным нарушением зрения и слуха</w:t>
            </w:r>
          </w:p>
          <w:p w14:paraId="536D939E">
            <w:pPr>
              <w:rPr>
                <w:szCs w:val="24"/>
              </w:rPr>
            </w:pPr>
            <w:r>
              <w:rPr>
                <w:szCs w:val="24"/>
              </w:rPr>
              <w:t>Тифлосурдопереводчик</w:t>
            </w:r>
          </w:p>
        </w:tc>
      </w:tr>
    </w:tbl>
    <w:p w14:paraId="6DB322B9">
      <w:pPr>
        <w:rPr>
          <w:szCs w:val="20"/>
        </w:rPr>
      </w:pPr>
    </w:p>
    <w:p w14:paraId="0C480361">
      <w:pPr>
        <w:rPr>
          <w:bCs/>
          <w:szCs w:val="20"/>
        </w:rPr>
      </w:pPr>
      <w:r>
        <w:rPr>
          <w:bCs/>
          <w:szCs w:val="20"/>
        </w:rPr>
        <w:t>Пути достижения квалификации</w:t>
      </w:r>
    </w:p>
    <w:p w14:paraId="41B65091">
      <w:pPr>
        <w:rPr>
          <w:bCs/>
          <w:szCs w:val="20"/>
        </w:rPr>
      </w:pPr>
    </w:p>
    <w:tbl>
      <w:tblPr>
        <w:tblStyle w:val="12"/>
        <w:tblW w:w="4949" w:type="pct"/>
        <w:tblInd w:w="0" w:type="dxa"/>
        <w:tblBorders>
          <w:top w:val="single" w:color="808080" w:sz="4" w:space="0"/>
          <w:left w:val="none" w:color="auto" w:sz="0" w:space="0"/>
          <w:bottom w:val="single" w:color="808080" w:sz="4" w:space="0"/>
          <w:right w:val="none" w:color="auto" w:sz="0" w:space="0"/>
          <w:insideH w:val="single" w:color="808080" w:sz="4" w:space="0"/>
          <w:insideV w:val="single" w:color="80808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2"/>
        <w:gridCol w:w="8004"/>
      </w:tblGrid>
      <w:tr w14:paraId="15429F19">
        <w:tblPrEx>
          <w:tblBorders>
            <w:top w:val="single" w:color="808080" w:sz="4" w:space="0"/>
            <w:left w:val="none" w:color="auto" w:sz="0" w:space="0"/>
            <w:bottom w:val="single" w:color="808080" w:sz="4" w:space="0"/>
            <w:right w:val="none" w:color="auto" w:sz="0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121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3DAA96">
            <w:pPr>
              <w:rPr>
                <w:szCs w:val="20"/>
              </w:rPr>
            </w:pPr>
            <w:r>
              <w:rPr>
                <w:szCs w:val="20"/>
              </w:rPr>
              <w:t>Образование и обучение</w:t>
            </w:r>
          </w:p>
        </w:tc>
        <w:tc>
          <w:tcPr>
            <w:tcW w:w="3879" w:type="pct"/>
            <w:tcBorders>
              <w:left w:val="single" w:color="auto" w:sz="4" w:space="0"/>
              <w:right w:val="single" w:color="808080" w:sz="4" w:space="0"/>
            </w:tcBorders>
            <w:vAlign w:val="center"/>
          </w:tcPr>
          <w:p w14:paraId="7AC60325">
            <w:pPr>
              <w:pStyle w:val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профессиональное образование - программы подготовки специалистов среднего звена и дополнительное профессиональное образование по программам повышения квалификации в области сурдокоммуникации</w:t>
            </w:r>
          </w:p>
          <w:p w14:paraId="1973ADA9">
            <w:pPr>
              <w:pStyle w:val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или</w:t>
            </w:r>
          </w:p>
          <w:p w14:paraId="05D9F2C2">
            <w:pPr>
              <w:pStyle w:val="23"/>
              <w:rPr>
                <w:szCs w:val="24"/>
              </w:rPr>
            </w:pPr>
            <w:r>
              <w:rPr>
                <w:sz w:val="24"/>
                <w:szCs w:val="24"/>
              </w:rPr>
              <w:t xml:space="preserve"> Среднее профессиональное образование (непрофильное) — программы подготовки специалистов среднего звена и дополнительное профессиональное образование по программам профессиональной переподготовки по профилю  (направлению) профессиональной деятельности</w:t>
            </w:r>
          </w:p>
        </w:tc>
      </w:tr>
      <w:tr w14:paraId="69FACDBE">
        <w:tblPrEx>
          <w:tblBorders>
            <w:top w:val="single" w:color="808080" w:sz="4" w:space="0"/>
            <w:left w:val="none" w:color="auto" w:sz="0" w:space="0"/>
            <w:bottom w:val="single" w:color="808080" w:sz="4" w:space="0"/>
            <w:right w:val="none" w:color="auto" w:sz="0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121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DE3269">
            <w:pPr>
              <w:rPr>
                <w:szCs w:val="20"/>
              </w:rPr>
            </w:pPr>
            <w:r>
              <w:rPr>
                <w:szCs w:val="20"/>
              </w:rPr>
              <w:t>Опыт практической работы</w:t>
            </w:r>
          </w:p>
        </w:tc>
        <w:tc>
          <w:tcPr>
            <w:tcW w:w="3879" w:type="pct"/>
            <w:tcBorders>
              <w:left w:val="single" w:color="auto" w:sz="4" w:space="0"/>
              <w:right w:val="single" w:color="808080" w:sz="4" w:space="0"/>
            </w:tcBorders>
            <w:vAlign w:val="center"/>
          </w:tcPr>
          <w:p w14:paraId="6240C60D">
            <w:pPr>
              <w:rPr>
                <w:rFonts w:hint="default"/>
                <w:szCs w:val="24"/>
                <w:lang w:val="ru-RU"/>
              </w:rPr>
            </w:pPr>
            <w:r>
              <w:t xml:space="preserve"> </w:t>
            </w:r>
            <w:r>
              <w:rPr>
                <w:rFonts w:hint="default"/>
                <w:lang w:val="ru-RU"/>
              </w:rPr>
              <w:t>-</w:t>
            </w:r>
          </w:p>
        </w:tc>
      </w:tr>
    </w:tbl>
    <w:p w14:paraId="55B3D6E0">
      <w:pPr>
        <w:tabs>
          <w:tab w:val="left" w:pos="2484"/>
        </w:tabs>
        <w:rPr>
          <w:szCs w:val="24"/>
        </w:rPr>
      </w:pPr>
    </w:p>
    <w:tbl>
      <w:tblPr>
        <w:tblStyle w:val="12"/>
        <w:tblW w:w="4949" w:type="pct"/>
        <w:tblInd w:w="0" w:type="dxa"/>
        <w:tblBorders>
          <w:top w:val="single" w:color="808080" w:sz="4" w:space="0"/>
          <w:left w:val="none" w:color="auto" w:sz="0" w:space="0"/>
          <w:bottom w:val="single" w:color="808080" w:sz="4" w:space="0"/>
          <w:right w:val="none" w:color="auto" w:sz="0" w:space="0"/>
          <w:insideH w:val="single" w:color="808080" w:sz="4" w:space="0"/>
          <w:insideV w:val="single" w:color="80808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2"/>
        <w:gridCol w:w="8004"/>
      </w:tblGrid>
      <w:tr w14:paraId="41EDECB9">
        <w:tblPrEx>
          <w:tblBorders>
            <w:top w:val="single" w:color="808080" w:sz="4" w:space="0"/>
            <w:left w:val="none" w:color="auto" w:sz="0" w:space="0"/>
            <w:bottom w:val="single" w:color="808080" w:sz="4" w:space="0"/>
            <w:right w:val="none" w:color="auto" w:sz="0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121" w:type="pct"/>
            <w:tcBorders>
              <w:left w:val="single" w:color="808080" w:sz="4" w:space="0"/>
            </w:tcBorders>
            <w:vAlign w:val="center"/>
          </w:tcPr>
          <w:p w14:paraId="6F473BF2">
            <w:pPr>
              <w:rPr>
                <w:szCs w:val="20"/>
              </w:rPr>
            </w:pPr>
            <w:r>
              <w:rPr>
                <w:szCs w:val="20"/>
              </w:rPr>
              <w:t xml:space="preserve">Особые условия допуска к работе </w:t>
            </w:r>
          </w:p>
        </w:tc>
        <w:tc>
          <w:tcPr>
            <w:tcW w:w="3879" w:type="pct"/>
            <w:tcBorders>
              <w:right w:val="single" w:color="808080" w:sz="4" w:space="0"/>
            </w:tcBorders>
            <w:vAlign w:val="center"/>
          </w:tcPr>
          <w:p w14:paraId="1AD39453">
            <w:pPr>
              <w:rPr>
                <w:szCs w:val="24"/>
              </w:rPr>
            </w:pPr>
            <w:r>
              <w:rPr>
                <w:szCs w:val="24"/>
              </w:rPr>
              <w:t>Обучение по охране труда и проверка знания требований охраны труда</w:t>
            </w:r>
            <w:r>
              <w:rPr>
                <w:rStyle w:val="69"/>
                <w:szCs w:val="24"/>
              </w:rPr>
              <w:endnoteReference w:id="3"/>
            </w:r>
            <w:r>
              <w:rPr>
                <w:szCs w:val="24"/>
              </w:rPr>
              <w:t xml:space="preserve"> </w:t>
            </w:r>
          </w:p>
        </w:tc>
      </w:tr>
      <w:tr w14:paraId="52C0D788">
        <w:tblPrEx>
          <w:tblBorders>
            <w:top w:val="single" w:color="808080" w:sz="4" w:space="0"/>
            <w:left w:val="none" w:color="auto" w:sz="0" w:space="0"/>
            <w:bottom w:val="single" w:color="808080" w:sz="4" w:space="0"/>
            <w:right w:val="none" w:color="auto" w:sz="0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121" w:type="pct"/>
            <w:tcBorders>
              <w:left w:val="single" w:color="808080" w:sz="4" w:space="0"/>
            </w:tcBorders>
            <w:vAlign w:val="center"/>
          </w:tcPr>
          <w:p w14:paraId="5F9F545D">
            <w:pPr>
              <w:rPr>
                <w:szCs w:val="20"/>
              </w:rPr>
            </w:pPr>
            <w:r>
              <w:rPr>
                <w:szCs w:val="20"/>
              </w:rPr>
              <w:t>Другие характеристики</w:t>
            </w:r>
          </w:p>
        </w:tc>
        <w:tc>
          <w:tcPr>
            <w:tcW w:w="3879" w:type="pct"/>
            <w:tcBorders>
              <w:right w:val="single" w:color="808080" w:sz="4" w:space="0"/>
            </w:tcBorders>
            <w:vAlign w:val="center"/>
          </w:tcPr>
          <w:p w14:paraId="7E7467D8">
            <w:pPr>
              <w:rPr>
                <w:szCs w:val="24"/>
              </w:rPr>
            </w:pPr>
            <w:r>
              <w:t>Р</w:t>
            </w:r>
            <w:r>
              <w:rPr>
                <w:highlight w:val="none"/>
              </w:rPr>
              <w:t>екомендуется дополнительное профессиональное образование по программам повышения квалификации в соответствии с видом профессиональной деятельности не реже 1 раза в 3 года</w:t>
            </w:r>
          </w:p>
        </w:tc>
      </w:tr>
    </w:tbl>
    <w:p w14:paraId="4B19653B"/>
    <w:p w14:paraId="284D66B2">
      <w:pPr>
        <w:rPr>
          <w:bCs/>
        </w:rPr>
      </w:pPr>
      <w:r>
        <w:rPr>
          <w:bCs/>
        </w:rPr>
        <w:t>Справочная информация</w:t>
      </w:r>
    </w:p>
    <w:p w14:paraId="3C698179"/>
    <w:tbl>
      <w:tblPr>
        <w:tblStyle w:val="12"/>
        <w:tblW w:w="4949" w:type="pct"/>
        <w:tblInd w:w="0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0"/>
        <w:gridCol w:w="1304"/>
        <w:gridCol w:w="6702"/>
      </w:tblGrid>
      <w:tr w14:paraId="4250C34A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20" w:type="pct"/>
            <w:vAlign w:val="center"/>
          </w:tcPr>
          <w:p w14:paraId="3698CB6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документа</w:t>
            </w:r>
          </w:p>
        </w:tc>
        <w:tc>
          <w:tcPr>
            <w:tcW w:w="632" w:type="pct"/>
            <w:vAlign w:val="center"/>
          </w:tcPr>
          <w:p w14:paraId="1EBF52E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Код</w:t>
            </w:r>
          </w:p>
        </w:tc>
        <w:tc>
          <w:tcPr>
            <w:tcW w:w="3247" w:type="pct"/>
            <w:vAlign w:val="center"/>
          </w:tcPr>
          <w:p w14:paraId="2CDD569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14:paraId="156B00E8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0" w:type="pct"/>
          </w:tcPr>
          <w:p w14:paraId="2F60CA32">
            <w:pPr>
              <w:rPr>
                <w:szCs w:val="24"/>
              </w:rPr>
            </w:pPr>
            <w:r>
              <w:rPr>
                <w:szCs w:val="24"/>
              </w:rPr>
              <w:t>ОКЗ</w:t>
            </w:r>
          </w:p>
        </w:tc>
        <w:tc>
          <w:tcPr>
            <w:tcW w:w="1304" w:type="dxa"/>
          </w:tcPr>
          <w:p w14:paraId="2F39B19D">
            <w:pPr>
              <w:jc w:val="center"/>
              <w:rPr>
                <w:rFonts w:eastAsia="SimSun"/>
                <w:szCs w:val="24"/>
                <w:lang w:val="en-US" w:eastAsia="zh-CN" w:bidi="ar"/>
              </w:rPr>
            </w:pPr>
            <w:r>
              <w:fldChar w:fldCharType="begin"/>
            </w:r>
            <w:r>
              <w:instrText xml:space="preserve"> HYPERLINK "consultantplus://offline/ref=645A54A714646AE6C7D5C231A09DE92FCD4A2B786088D7BEB95825A4042F2C5F4A64A293A20545A8802ED82655A7B2F6963D91D72E9FE99DM9Z2O" \h </w:instrText>
            </w:r>
            <w:r>
              <w:fldChar w:fldCharType="separate"/>
            </w:r>
            <w:r>
              <w:t>2643</w:t>
            </w:r>
            <w:r>
              <w:fldChar w:fldCharType="end"/>
            </w:r>
          </w:p>
        </w:tc>
        <w:tc>
          <w:tcPr>
            <w:tcW w:w="6699" w:type="dxa"/>
            <w:shd w:val="clear" w:color="DDEBF7" w:fill="auto"/>
          </w:tcPr>
          <w:p w14:paraId="535F9885">
            <w:pPr>
              <w:rPr>
                <w:rFonts w:eastAsia="SimSun"/>
                <w:szCs w:val="24"/>
                <w:lang w:val="en-US" w:eastAsia="zh-CN" w:bidi="ar"/>
              </w:rPr>
            </w:pPr>
            <w:r>
              <w:t>Переводчики и другие лингвисты</w:t>
            </w:r>
          </w:p>
        </w:tc>
      </w:tr>
      <w:tr w14:paraId="4507F10B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120" w:type="pct"/>
          </w:tcPr>
          <w:p w14:paraId="450E8EE9">
            <w:pPr>
              <w:rPr>
                <w:szCs w:val="24"/>
              </w:rPr>
            </w:pPr>
            <w:r>
              <w:rPr>
                <w:szCs w:val="24"/>
              </w:rPr>
              <w:t>ЕКС</w:t>
            </w:r>
            <w:r>
              <w:rPr>
                <w:szCs w:val="24"/>
                <w:vertAlign w:val="superscript"/>
              </w:rPr>
              <w:endnoteReference w:id="4"/>
            </w:r>
          </w:p>
        </w:tc>
        <w:tc>
          <w:tcPr>
            <w:tcW w:w="632" w:type="pct"/>
          </w:tcPr>
          <w:p w14:paraId="5A8D572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3247" w:type="pct"/>
          </w:tcPr>
          <w:p w14:paraId="7B569E68">
            <w:pPr>
              <w:rPr>
                <w:color w:val="C00000"/>
                <w:szCs w:val="24"/>
              </w:rPr>
            </w:pPr>
            <w:r>
              <w:rPr>
                <w:color w:val="auto"/>
                <w:szCs w:val="24"/>
              </w:rPr>
              <w:t>Переводчик русского жестового языка</w:t>
            </w:r>
          </w:p>
        </w:tc>
      </w:tr>
      <w:tr w14:paraId="0B4CE7D7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0" w:type="pct"/>
          </w:tcPr>
          <w:p w14:paraId="5CB7172C">
            <w:pPr>
              <w:rPr>
                <w:szCs w:val="24"/>
              </w:rPr>
            </w:pPr>
            <w:r>
              <w:rPr>
                <w:szCs w:val="24"/>
              </w:rPr>
              <w:t>ОКПДТР</w:t>
            </w:r>
            <w:r>
              <w:rPr>
                <w:rStyle w:val="15"/>
                <w:szCs w:val="24"/>
              </w:rPr>
              <w:endnoteReference w:id="5"/>
            </w:r>
          </w:p>
        </w:tc>
        <w:tc>
          <w:tcPr>
            <w:tcW w:w="632" w:type="pct"/>
            <w:shd w:val="clear" w:color="DDEBF7" w:fill="auto"/>
            <w:vAlign w:val="center"/>
          </w:tcPr>
          <w:p w14:paraId="7700ED90">
            <w:pPr>
              <w:jc w:val="center"/>
              <w:textAlignment w:val="top"/>
              <w:rPr>
                <w:rFonts w:eastAsia="SimSun"/>
                <w:szCs w:val="24"/>
                <w:lang w:eastAsia="zh-CN" w:bidi="ar"/>
              </w:rPr>
            </w:pPr>
            <w:r>
              <w:rPr>
                <w:rFonts w:eastAsia="SimSun"/>
                <w:szCs w:val="24"/>
                <w:lang w:val="en-US" w:eastAsia="zh-CN" w:bidi="ar"/>
              </w:rPr>
              <w:t>2</w:t>
            </w:r>
            <w:r>
              <w:rPr>
                <w:rFonts w:eastAsia="SimSun"/>
                <w:szCs w:val="24"/>
                <w:lang w:eastAsia="zh-CN" w:bidi="ar"/>
              </w:rPr>
              <w:t>04060</w:t>
            </w:r>
          </w:p>
        </w:tc>
        <w:tc>
          <w:tcPr>
            <w:tcW w:w="3247" w:type="pct"/>
          </w:tcPr>
          <w:p w14:paraId="79A6B3CE">
            <w:pPr>
              <w:textAlignment w:val="top"/>
              <w:rPr>
                <w:rFonts w:eastAsia="SimSun"/>
                <w:szCs w:val="24"/>
                <w:lang w:eastAsia="zh-CN" w:bidi="ar"/>
              </w:rPr>
            </w:pPr>
            <w:r>
              <w:rPr>
                <w:rFonts w:eastAsia="SimSun"/>
                <w:szCs w:val="24"/>
                <w:lang w:eastAsia="zh-CN" w:bidi="ar"/>
              </w:rPr>
              <w:t>Тифлосурдопереводчик</w:t>
            </w:r>
          </w:p>
        </w:tc>
      </w:tr>
      <w:tr w14:paraId="234AA3EC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0" w:type="pct"/>
          </w:tcPr>
          <w:p w14:paraId="2066DC47">
            <w:pPr>
              <w:rPr>
                <w:szCs w:val="24"/>
              </w:rPr>
            </w:pPr>
            <w:r>
              <w:rPr>
                <w:szCs w:val="24"/>
              </w:rPr>
              <w:t>Перечни СПО</w:t>
            </w:r>
            <w:r>
              <w:rPr>
                <w:rStyle w:val="15"/>
                <w:szCs w:val="24"/>
              </w:rPr>
              <w:endnoteReference w:id="6"/>
            </w:r>
          </w:p>
        </w:tc>
        <w:tc>
          <w:tcPr>
            <w:tcW w:w="632" w:type="pct"/>
          </w:tcPr>
          <w:p w14:paraId="251D59F9">
            <w:pPr>
              <w:jc w:val="center"/>
              <w:textAlignment w:val="top"/>
              <w:rPr>
                <w:szCs w:val="24"/>
              </w:rPr>
            </w:pPr>
            <w:r>
              <w:rPr>
                <w:rFonts w:eastAsia="SimSun"/>
                <w:szCs w:val="24"/>
                <w:lang w:eastAsia="zh-CN" w:bidi="ar"/>
              </w:rPr>
              <w:t>39.02.02</w:t>
            </w:r>
          </w:p>
        </w:tc>
        <w:tc>
          <w:tcPr>
            <w:tcW w:w="3247" w:type="pct"/>
          </w:tcPr>
          <w:p w14:paraId="7211788D">
            <w:pPr>
              <w:rPr>
                <w:szCs w:val="24"/>
              </w:rPr>
            </w:pPr>
            <w:r>
              <w:rPr>
                <w:szCs w:val="24"/>
              </w:rPr>
              <w:t>Сурдокоммуникация</w:t>
            </w:r>
          </w:p>
        </w:tc>
      </w:tr>
    </w:tbl>
    <w:p w14:paraId="017F6164"/>
    <w:p w14:paraId="0EC7E5D7">
      <w:r>
        <w:rPr>
          <w:b/>
          <w:szCs w:val="20"/>
        </w:rPr>
        <w:t>3.1.1. Трудовая функция</w:t>
      </w:r>
    </w:p>
    <w:p w14:paraId="25C9188A"/>
    <w:tbl>
      <w:tblPr>
        <w:tblStyle w:val="12"/>
        <w:tblW w:w="4905" w:type="pct"/>
        <w:tblInd w:w="5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4577"/>
        <w:gridCol w:w="613"/>
        <w:gridCol w:w="1037"/>
        <w:gridCol w:w="1401"/>
        <w:gridCol w:w="1080"/>
      </w:tblGrid>
      <w:tr w14:paraId="640A66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41" w:type="pct"/>
            <w:tcBorders>
              <w:top w:val="nil"/>
              <w:bottom w:val="nil"/>
              <w:right w:val="single" w:color="808080" w:sz="4" w:space="0"/>
            </w:tcBorders>
            <w:vAlign w:val="center"/>
          </w:tcPr>
          <w:p w14:paraId="2EBF244A">
            <w:pPr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37" w:type="pct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14:paraId="75DFE4E9">
            <w:pPr>
              <w:rPr>
                <w:szCs w:val="24"/>
              </w:rPr>
            </w:pPr>
            <w:r>
              <w:rPr>
                <w:szCs w:val="24"/>
              </w:rPr>
              <w:t>Сопровождение лица с нарушениями зрения и слуха (слепоглухих) в процессе передвижения по маршруту (к месту назначения, на месте назначения, к месту отправления)</w:t>
            </w:r>
          </w:p>
        </w:tc>
        <w:tc>
          <w:tcPr>
            <w:tcW w:w="300" w:type="pct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</w:tcPr>
          <w:p w14:paraId="295DC5C8">
            <w:pPr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>Код</w:t>
            </w:r>
          </w:p>
        </w:tc>
        <w:tc>
          <w:tcPr>
            <w:tcW w:w="507" w:type="pct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center"/>
          </w:tcPr>
          <w:p w14:paraId="0D79409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А/01.5</w:t>
            </w:r>
          </w:p>
        </w:tc>
        <w:tc>
          <w:tcPr>
            <w:tcW w:w="685" w:type="pct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</w:tcPr>
          <w:p w14:paraId="7FAF4D12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528" w:type="pct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center"/>
          </w:tcPr>
          <w:p w14:paraId="032CAD8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</w:tbl>
    <w:p w14:paraId="7E11784D"/>
    <w:tbl>
      <w:tblPr>
        <w:tblStyle w:val="12"/>
        <w:tblW w:w="4917" w:type="pct"/>
        <w:tblInd w:w="2" w:type="dxa"/>
        <w:tblBorders>
          <w:top w:val="single" w:color="7F7F7F" w:sz="2" w:space="0"/>
          <w:left w:val="single" w:color="7F7F7F" w:sz="2" w:space="0"/>
          <w:bottom w:val="single" w:color="7F7F7F" w:sz="2" w:space="0"/>
          <w:right w:val="single" w:color="7F7F7F" w:sz="2" w:space="0"/>
          <w:insideH w:val="single" w:color="7F7F7F" w:sz="2" w:space="0"/>
          <w:insideV w:val="single" w:color="7F7F7F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8"/>
        <w:gridCol w:w="7941"/>
      </w:tblGrid>
      <w:tr w14:paraId="23A2958A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6" w:type="pct"/>
            <w:vMerge w:val="restart"/>
          </w:tcPr>
          <w:p w14:paraId="7F410C11">
            <w:pPr>
              <w:rPr>
                <w:szCs w:val="20"/>
              </w:rPr>
            </w:pPr>
            <w:r>
              <w:rPr>
                <w:szCs w:val="20"/>
              </w:rPr>
              <w:t>Трудовые действия</w:t>
            </w:r>
          </w:p>
        </w:tc>
        <w:tc>
          <w:tcPr>
            <w:tcW w:w="3873" w:type="pct"/>
          </w:tcPr>
          <w:p w14:paraId="7D78F02B">
            <w:pPr>
              <w:pStyle w:val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оптимального способа сопровождения совместно с получателем социальной услуги (лица с одновременным нарушением зрения и слуха) </w:t>
            </w:r>
          </w:p>
        </w:tc>
      </w:tr>
      <w:tr w14:paraId="2D13455C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6" w:type="pct"/>
            <w:vMerge w:val="continue"/>
          </w:tcPr>
          <w:p w14:paraId="2F4F829C">
            <w:pPr>
              <w:rPr>
                <w:szCs w:val="20"/>
              </w:rPr>
            </w:pPr>
          </w:p>
        </w:tc>
        <w:tc>
          <w:tcPr>
            <w:tcW w:w="3873" w:type="pct"/>
          </w:tcPr>
          <w:p w14:paraId="18526C59">
            <w:pPr>
              <w:pStyle w:val="6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Планиров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  <w:t xml:space="preserve">ание совместно с лицом, имеющим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val="ru-RU"/>
              </w:rPr>
              <w:t>одновременно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  <w:t>нарушения зрения и слуха (слепоглухим), оптимального маршрута его сопровождения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  <w:highlight w:val="none"/>
              </w:rPr>
              <w:t xml:space="preserve">  </w:t>
            </w:r>
          </w:p>
        </w:tc>
      </w:tr>
      <w:tr w14:paraId="6FEA6F6D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6" w:type="pct"/>
            <w:vMerge w:val="continue"/>
          </w:tcPr>
          <w:p w14:paraId="5758A8A5">
            <w:pPr>
              <w:rPr>
                <w:szCs w:val="20"/>
              </w:rPr>
            </w:pPr>
          </w:p>
        </w:tc>
        <w:tc>
          <w:tcPr>
            <w:tcW w:w="3873" w:type="pct"/>
          </w:tcPr>
          <w:p w14:paraId="7F4AB40E">
            <w:pPr>
              <w:pStyle w:val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 оптимального способа предупреждения/указания лицу с одновременным нарушением зрения и слуха (слепоглухого) об особенностях  в пути следования </w:t>
            </w:r>
          </w:p>
        </w:tc>
      </w:tr>
      <w:tr w14:paraId="6E0B3C2F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6" w:type="pct"/>
            <w:vMerge w:val="continue"/>
          </w:tcPr>
          <w:p w14:paraId="0FC189A2">
            <w:pPr>
              <w:rPr>
                <w:szCs w:val="20"/>
              </w:rPr>
            </w:pPr>
          </w:p>
        </w:tc>
        <w:tc>
          <w:tcPr>
            <w:tcW w:w="3873" w:type="pct"/>
          </w:tcPr>
          <w:p w14:paraId="0EC9C806">
            <w:pPr>
              <w:pStyle w:val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Сопровождение лиц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одновременным нарушением зрения и слуха (слепоглух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 от места отправления к месту назначения, на месте назначения и от места назначения к месту отправления/пребывания.</w:t>
            </w:r>
          </w:p>
        </w:tc>
      </w:tr>
      <w:tr w14:paraId="5468C4F3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6" w:type="pct"/>
            <w:vMerge w:val="continue"/>
          </w:tcPr>
          <w:p w14:paraId="4010C525">
            <w:pPr>
              <w:rPr>
                <w:szCs w:val="20"/>
              </w:rPr>
            </w:pPr>
          </w:p>
        </w:tc>
        <w:tc>
          <w:tcPr>
            <w:tcW w:w="3873" w:type="pct"/>
          </w:tcPr>
          <w:p w14:paraId="5E67EFD6">
            <w:pPr>
              <w:pStyle w:val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лиц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одновременным нарушением зрения и слуха (слепоглухих)</w:t>
            </w:r>
          </w:p>
        </w:tc>
      </w:tr>
      <w:tr w14:paraId="7A42FDBE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6" w:type="pct"/>
            <w:vMerge w:val="restart"/>
          </w:tcPr>
          <w:p w14:paraId="525880CF">
            <w:pPr>
              <w:widowControl w:val="0"/>
              <w:rPr>
                <w:bCs/>
                <w:szCs w:val="20"/>
              </w:rPr>
            </w:pPr>
            <w:r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873" w:type="pct"/>
          </w:tcPr>
          <w:p w14:paraId="28525992">
            <w:pPr>
              <w:pStyle w:val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Устанавливать контакт с лицами, имеющими одновременные нарушения зрения и слуха (слепоглухими)</w:t>
            </w:r>
          </w:p>
        </w:tc>
      </w:tr>
      <w:tr w14:paraId="22338201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6" w:type="pct"/>
            <w:vMerge w:val="continue"/>
          </w:tcPr>
          <w:p w14:paraId="770D5BB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3" w:type="pct"/>
          </w:tcPr>
          <w:p w14:paraId="568407FE">
            <w:pPr>
              <w:pStyle w:val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Ориентироваться на территории, где осуществляется сопровождение  лица с одновременным нарушением зрения и слуха (слепоглухого)</w:t>
            </w:r>
          </w:p>
        </w:tc>
      </w:tr>
      <w:tr w14:paraId="4EDA100B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6" w:type="pct"/>
            <w:vMerge w:val="continue"/>
          </w:tcPr>
          <w:p w14:paraId="2D0F14F7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3" w:type="pct"/>
          </w:tcPr>
          <w:p w14:paraId="36A40ED7">
            <w:pPr>
              <w:pStyle w:val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Организовывать и обеспечивать мобильность лица с одновременным нарушением зрения и слуха (слепоглухого) с учетом степени нарушения зрения и слуха</w:t>
            </w:r>
          </w:p>
        </w:tc>
      </w:tr>
      <w:tr w14:paraId="780322A4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6" w:type="pct"/>
            <w:vMerge w:val="continue"/>
          </w:tcPr>
          <w:p w14:paraId="453C8A9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3" w:type="pct"/>
          </w:tcPr>
          <w:p w14:paraId="6C6BA0C2">
            <w:pPr>
              <w:pStyle w:val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Оценивать и учитывать физическое и психологическое состояние лиц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нарушениями зрения и слуха (слепоглухих), проявлять вежливость, внимание и терпение</w:t>
            </w:r>
          </w:p>
        </w:tc>
      </w:tr>
      <w:tr w14:paraId="47BD675E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6" w:type="pct"/>
            <w:vMerge w:val="restart"/>
          </w:tcPr>
          <w:p w14:paraId="2B54EAA3">
            <w:pPr>
              <w:rPr>
                <w:szCs w:val="20"/>
              </w:rPr>
            </w:pPr>
            <w:r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3" w:type="pct"/>
          </w:tcPr>
          <w:p w14:paraId="73BA28D5">
            <w:pPr>
              <w:pStyle w:val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 в сфере реабилитации и оказания услуг лицам с нарушением зрения и слуха (слепоглухих)</w:t>
            </w:r>
          </w:p>
        </w:tc>
      </w:tr>
      <w:tr w14:paraId="6564D475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6" w:type="pct"/>
            <w:vMerge w:val="continue"/>
          </w:tcPr>
          <w:p w14:paraId="483361E1">
            <w:pPr>
              <w:rPr>
                <w:bCs/>
                <w:szCs w:val="20"/>
              </w:rPr>
            </w:pPr>
          </w:p>
        </w:tc>
        <w:tc>
          <w:tcPr>
            <w:tcW w:w="3873" w:type="pct"/>
          </w:tcPr>
          <w:p w14:paraId="763EE1AE">
            <w:pPr>
              <w:pStyle w:val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Различные способы коммуникаций (письмо на ладони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(дермография),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дактилология, жестовый язык)</w:t>
            </w:r>
          </w:p>
        </w:tc>
      </w:tr>
      <w:tr w14:paraId="73B57282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6" w:type="pct"/>
            <w:vMerge w:val="continue"/>
          </w:tcPr>
          <w:p w14:paraId="68377D45">
            <w:pPr>
              <w:rPr>
                <w:bCs/>
                <w:szCs w:val="20"/>
              </w:rPr>
            </w:pPr>
          </w:p>
        </w:tc>
        <w:tc>
          <w:tcPr>
            <w:tcW w:w="3873" w:type="pct"/>
          </w:tcPr>
          <w:p w14:paraId="33CDA811">
            <w:pPr>
              <w:pStyle w:val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  <w:highlight w:val="none"/>
                <w:lang w:eastAsia="zh-CN" w:bidi="ar"/>
              </w:rPr>
              <w:t>Основные ТСР для лиц с одновременным нарушением зрения и слуха (слепоглухих), в том числе ТСР, используемые при сопровождении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(трость тактильная, трость опорная, собака-поводырь и другие)</w:t>
            </w:r>
          </w:p>
        </w:tc>
      </w:tr>
      <w:tr w14:paraId="221CE2D8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6" w:type="pct"/>
            <w:vMerge w:val="continue"/>
          </w:tcPr>
          <w:p w14:paraId="12F6D95E">
            <w:pPr>
              <w:rPr>
                <w:bCs/>
                <w:szCs w:val="20"/>
              </w:rPr>
            </w:pPr>
          </w:p>
        </w:tc>
        <w:tc>
          <w:tcPr>
            <w:tcW w:w="3873" w:type="pct"/>
          </w:tcPr>
          <w:p w14:paraId="02926C97">
            <w:pPr>
              <w:pStyle w:val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Рекомендации по организации коммуникативного контакта с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лицами, имеющими одновременно нарушения зрения и слуха (слепоглухими) </w:t>
            </w:r>
          </w:p>
        </w:tc>
      </w:tr>
      <w:tr w14:paraId="79E00D95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6" w:type="pct"/>
            <w:vMerge w:val="continue"/>
          </w:tcPr>
          <w:p w14:paraId="0BA86A07">
            <w:pPr>
              <w:rPr>
                <w:bCs/>
                <w:szCs w:val="20"/>
              </w:rPr>
            </w:pPr>
          </w:p>
        </w:tc>
        <w:tc>
          <w:tcPr>
            <w:tcW w:w="3873" w:type="pct"/>
          </w:tcPr>
          <w:p w14:paraId="22FDB39B">
            <w:pPr>
              <w:pStyle w:val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сопровождения лиц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одновременным нарушением зрения и слуха (слепоглух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в открытом/закрытом пространстве, в транспорте, при входе/выходе из транспорта</w:t>
            </w:r>
          </w:p>
        </w:tc>
      </w:tr>
      <w:tr w14:paraId="20239E84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6" w:type="pct"/>
            <w:vMerge w:val="continue"/>
          </w:tcPr>
          <w:p w14:paraId="237609E3">
            <w:pPr>
              <w:rPr>
                <w:bCs/>
                <w:szCs w:val="20"/>
              </w:rPr>
            </w:pPr>
          </w:p>
        </w:tc>
        <w:tc>
          <w:tcPr>
            <w:tcW w:w="3873" w:type="pct"/>
          </w:tcPr>
          <w:p w14:paraId="02660D94">
            <w:pPr>
              <w:pStyle w:val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сопровождения различных категорий лиц с одновременным нарушением зрения и слуха (слепоглухих) в зависимости от их индивидуальных особенностей</w:t>
            </w:r>
          </w:p>
        </w:tc>
      </w:tr>
      <w:tr w14:paraId="0FEA02AB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6" w:type="pct"/>
            <w:vMerge w:val="continue"/>
          </w:tcPr>
          <w:p w14:paraId="1184E6D4">
            <w:pPr>
              <w:rPr>
                <w:bCs/>
                <w:szCs w:val="20"/>
              </w:rPr>
            </w:pPr>
          </w:p>
        </w:tc>
        <w:tc>
          <w:tcPr>
            <w:tcW w:w="3873" w:type="pct"/>
          </w:tcPr>
          <w:p w14:paraId="32981853">
            <w:pPr>
              <w:pStyle w:val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и характеристики лиц с одновременным нарушением зрения и слуха (слепоглухих)</w:t>
            </w:r>
          </w:p>
        </w:tc>
      </w:tr>
      <w:tr w14:paraId="21568763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6" w:type="pct"/>
            <w:vMerge w:val="continue"/>
          </w:tcPr>
          <w:p w14:paraId="1F751DC9">
            <w:pPr>
              <w:rPr>
                <w:bCs/>
                <w:szCs w:val="20"/>
              </w:rPr>
            </w:pPr>
          </w:p>
        </w:tc>
        <w:tc>
          <w:tcPr>
            <w:tcW w:w="3873" w:type="pct"/>
          </w:tcPr>
          <w:p w14:paraId="6B045C51">
            <w:pPr>
              <w:pStyle w:val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Социокультурные, социально-психологические, психолого-педагогические основы межличностного взаимодействия, особенности психологии личности, в том числе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Golos Text" w:cs="Times New Roman"/>
                <w:color w:val="auto"/>
                <w:sz w:val="24"/>
                <w:szCs w:val="24"/>
                <w:shd w:val="clear" w:color="auto" w:fill="FFFFFF"/>
                <w:lang w:eastAsia="zh-CN"/>
              </w:rPr>
              <w:t>лиц с одновременным нарушением зрения и слуха (слепоглухих)</w:t>
            </w:r>
          </w:p>
        </w:tc>
      </w:tr>
      <w:tr w14:paraId="0E42C556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6" w:type="pct"/>
            <w:vMerge w:val="continue"/>
          </w:tcPr>
          <w:p w14:paraId="0F94B377">
            <w:pPr>
              <w:rPr>
                <w:bCs/>
                <w:szCs w:val="20"/>
              </w:rPr>
            </w:pPr>
          </w:p>
        </w:tc>
        <w:tc>
          <w:tcPr>
            <w:tcW w:w="3873" w:type="pct"/>
          </w:tcPr>
          <w:p w14:paraId="56B58F2E">
            <w:pPr>
              <w:pStyle w:val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конфиденциальности личной информации, хранению и оперированию персональными данными лиц, обратившихся за получением социальных услуг и социальной поддержкой</w:t>
            </w:r>
          </w:p>
        </w:tc>
      </w:tr>
      <w:tr w14:paraId="121A90E3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6" w:type="pct"/>
            <w:vMerge w:val="continue"/>
          </w:tcPr>
          <w:p w14:paraId="32991DC1">
            <w:pPr>
              <w:rPr>
                <w:bCs/>
                <w:szCs w:val="20"/>
              </w:rPr>
            </w:pPr>
          </w:p>
        </w:tc>
        <w:tc>
          <w:tcPr>
            <w:tcW w:w="3873" w:type="pct"/>
          </w:tcPr>
          <w:p w14:paraId="371740B8">
            <w:pPr>
              <w:pStyle w:val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самоорганизации и самообразования лица с одновременным нарушением зрения и слуха (слепоглухого)</w:t>
            </w:r>
          </w:p>
        </w:tc>
      </w:tr>
      <w:tr w14:paraId="484017CB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6" w:type="pct"/>
            <w:vMerge w:val="continue"/>
          </w:tcPr>
          <w:p w14:paraId="2035173A">
            <w:pPr>
              <w:rPr>
                <w:bCs/>
                <w:szCs w:val="20"/>
              </w:rPr>
            </w:pPr>
          </w:p>
        </w:tc>
        <w:tc>
          <w:tcPr>
            <w:tcW w:w="3873" w:type="pct"/>
          </w:tcPr>
          <w:p w14:paraId="2FC8DFD7">
            <w:pPr>
              <w:pStyle w:val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Golos Text" w:cs="Times New Roman"/>
                <w:color w:val="auto"/>
                <w:sz w:val="24"/>
                <w:szCs w:val="24"/>
                <w:shd w:val="clear" w:color="auto" w:fill="FFFFFF"/>
              </w:rPr>
              <w:t xml:space="preserve">Правила межличностного общения, этики делового общения и межкультурной коммуникации, особенности общения с </w:t>
            </w:r>
            <w:r>
              <w:rPr>
                <w:rFonts w:ascii="Times New Roman" w:hAnsi="Times New Roman" w:eastAsia="Golos Text" w:cs="Times New Roman"/>
                <w:color w:val="auto"/>
                <w:sz w:val="24"/>
                <w:szCs w:val="24"/>
                <w:shd w:val="clear" w:color="auto" w:fill="FFFFFF"/>
                <w:lang w:eastAsia="zh-CN"/>
              </w:rPr>
              <w:t>лицами с одновременным нарушением зрения и слуха (слепоглухими)</w:t>
            </w:r>
          </w:p>
        </w:tc>
      </w:tr>
      <w:tr w14:paraId="68949C08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6" w:type="pct"/>
            <w:vMerge w:val="continue"/>
          </w:tcPr>
          <w:p w14:paraId="5DDD94AC">
            <w:pPr>
              <w:rPr>
                <w:bCs/>
                <w:szCs w:val="20"/>
              </w:rPr>
            </w:pPr>
          </w:p>
        </w:tc>
        <w:tc>
          <w:tcPr>
            <w:tcW w:w="3873" w:type="pct"/>
            <w:vAlign w:val="center"/>
          </w:tcPr>
          <w:p w14:paraId="189D60BB">
            <w:pPr>
              <w:pStyle w:val="6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Виды, структура и содержание документов, необходимых для оказания услуги тифлосурдоперевода, тифлосурдосопровождения</w:t>
            </w:r>
          </w:p>
        </w:tc>
      </w:tr>
      <w:tr w14:paraId="49E839BF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6" w:type="pct"/>
          </w:tcPr>
          <w:p w14:paraId="2832BE4B">
            <w:pPr>
              <w:widowControl w:val="0"/>
              <w:rPr>
                <w:bCs/>
                <w:szCs w:val="20"/>
              </w:rPr>
            </w:pPr>
            <w:r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3" w:type="pct"/>
          </w:tcPr>
          <w:p w14:paraId="3DBAFF7D">
            <w:pPr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</w:tbl>
    <w:p w14:paraId="23F03CF0"/>
    <w:p w14:paraId="525E98FB">
      <w:r>
        <w:rPr>
          <w:b/>
          <w:szCs w:val="20"/>
        </w:rPr>
        <w:t>3.1.2. Трудовая функция</w:t>
      </w:r>
    </w:p>
    <w:p w14:paraId="121FAE34"/>
    <w:tbl>
      <w:tblPr>
        <w:tblStyle w:val="12"/>
        <w:tblW w:w="4906" w:type="pct"/>
        <w:tblInd w:w="2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795"/>
        <w:gridCol w:w="3782"/>
        <w:gridCol w:w="611"/>
        <w:gridCol w:w="1037"/>
        <w:gridCol w:w="1401"/>
        <w:gridCol w:w="1084"/>
      </w:tblGrid>
      <w:tr w14:paraId="602C44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41" w:type="pct"/>
            <w:tcBorders>
              <w:top w:val="nil"/>
              <w:bottom w:val="nil"/>
              <w:right w:val="single" w:color="808080" w:sz="4" w:space="0"/>
            </w:tcBorders>
            <w:vAlign w:val="center"/>
          </w:tcPr>
          <w:p w14:paraId="646AAC46">
            <w:pPr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37" w:type="pct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14:paraId="6B5FD9C9">
            <w:pPr>
              <w:rPr>
                <w:szCs w:val="24"/>
              </w:rPr>
            </w:pPr>
            <w:r>
              <w:rPr>
                <w:color w:val="auto"/>
              </w:rPr>
              <w:t xml:space="preserve">Социальное сопровождение  </w:t>
            </w:r>
            <w:r>
              <w:rPr>
                <w:color w:val="auto"/>
                <w:szCs w:val="24"/>
              </w:rPr>
              <w:t>лиц с нарушениями зрения и слуха (слепоглухих)</w:t>
            </w:r>
          </w:p>
        </w:tc>
        <w:tc>
          <w:tcPr>
            <w:tcW w:w="299" w:type="pct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</w:tcPr>
          <w:p w14:paraId="5732E47C">
            <w:pPr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>Код</w:t>
            </w:r>
          </w:p>
        </w:tc>
        <w:tc>
          <w:tcPr>
            <w:tcW w:w="507" w:type="pct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center"/>
          </w:tcPr>
          <w:p w14:paraId="56745B9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А/02.5</w:t>
            </w:r>
          </w:p>
        </w:tc>
        <w:tc>
          <w:tcPr>
            <w:tcW w:w="685" w:type="pct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</w:tcPr>
          <w:p w14:paraId="48EB6575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528" w:type="pct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center"/>
          </w:tcPr>
          <w:p w14:paraId="09A0280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tr w14:paraId="664364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4998" w:type="pct"/>
            <w:gridSpan w:val="7"/>
            <w:tcBorders>
              <w:top w:val="nil"/>
              <w:bottom w:val="nil"/>
              <w:right w:val="single" w:color="808080" w:sz="4" w:space="0"/>
            </w:tcBorders>
            <w:vAlign w:val="center"/>
          </w:tcPr>
          <w:p w14:paraId="233B5EEA">
            <w:pPr>
              <w:jc w:val="center"/>
              <w:rPr>
                <w:szCs w:val="24"/>
              </w:rPr>
            </w:pPr>
          </w:p>
        </w:tc>
      </w:tr>
      <w:tr w14:paraId="31C8EEF8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29" w:type="pct"/>
            <w:gridSpan w:val="2"/>
            <w:vMerge w:val="restart"/>
          </w:tcPr>
          <w:p w14:paraId="71841C71">
            <w:pPr>
              <w:rPr>
                <w:szCs w:val="24"/>
                <w:lang w:eastAsia="zh-CN"/>
              </w:rPr>
            </w:pPr>
          </w:p>
        </w:tc>
        <w:tc>
          <w:tcPr>
            <w:tcW w:w="3870" w:type="pct"/>
            <w:gridSpan w:val="5"/>
          </w:tcPr>
          <w:p w14:paraId="3AF05A67">
            <w:pPr>
              <w:pStyle w:val="60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Определение стратегии и тактики тифлосурдоперевода в социально-бытовой сфере</w:t>
            </w:r>
          </w:p>
        </w:tc>
      </w:tr>
      <w:tr w14:paraId="6A04CC65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29" w:type="pct"/>
            <w:gridSpan w:val="2"/>
            <w:vMerge w:val="continue"/>
          </w:tcPr>
          <w:p w14:paraId="2903F3C5">
            <w:pPr>
              <w:rPr>
                <w:szCs w:val="24"/>
                <w:lang w:eastAsia="zh-CN"/>
              </w:rPr>
            </w:pPr>
          </w:p>
        </w:tc>
        <w:tc>
          <w:tcPr>
            <w:tcW w:w="3870" w:type="pct"/>
            <w:gridSpan w:val="5"/>
            <w:shd w:val="clear" w:color="auto" w:fill="auto"/>
          </w:tcPr>
          <w:p w14:paraId="2356D43F">
            <w:pPr>
              <w:pStyle w:val="6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highlight w:val="none"/>
              </w:rPr>
              <w:t>Тифлосурдосопровождение  лица с одновременным нарушением зрения и слуха (слепоглухого) с целью обеспечения межкультурной и межъязыковой коммуникации</w:t>
            </w:r>
          </w:p>
        </w:tc>
      </w:tr>
      <w:tr w14:paraId="520BBB19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29" w:type="pct"/>
            <w:gridSpan w:val="2"/>
            <w:vMerge w:val="continue"/>
          </w:tcPr>
          <w:p w14:paraId="0285B6E3">
            <w:pPr>
              <w:rPr>
                <w:szCs w:val="24"/>
                <w:lang w:eastAsia="zh-CN"/>
              </w:rPr>
            </w:pPr>
          </w:p>
        </w:tc>
        <w:tc>
          <w:tcPr>
            <w:tcW w:w="3870" w:type="pct"/>
            <w:gridSpan w:val="5"/>
          </w:tcPr>
          <w:p w14:paraId="05001F2E">
            <w:pPr>
              <w:pStyle w:val="60"/>
              <w:jc w:val="both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Оказание помощи лицу с нарушением зрения и слуха при межличностном общении, при взаимодействии с различными организациями </w:t>
            </w:r>
          </w:p>
        </w:tc>
      </w:tr>
      <w:tr w14:paraId="38A8852B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9" w:type="pct"/>
            <w:gridSpan w:val="2"/>
            <w:vMerge w:val="continue"/>
          </w:tcPr>
          <w:p w14:paraId="0590306B">
            <w:pPr>
              <w:rPr>
                <w:szCs w:val="24"/>
                <w:lang w:eastAsia="zh-CN"/>
              </w:rPr>
            </w:pPr>
          </w:p>
        </w:tc>
        <w:tc>
          <w:tcPr>
            <w:tcW w:w="3870" w:type="pct"/>
            <w:gridSpan w:val="5"/>
            <w:shd w:val="clear" w:color="auto" w:fill="auto"/>
          </w:tcPr>
          <w:p w14:paraId="6F5052D6">
            <w:pPr>
              <w:pStyle w:val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 xml:space="preserve">Оказание помощи в   пространственном ориентировании, сопровождение на мероприятиях, в медицинских и образовательных учреждениях </w:t>
            </w:r>
          </w:p>
        </w:tc>
      </w:tr>
      <w:tr w14:paraId="65E852A2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9" w:type="pct"/>
            <w:gridSpan w:val="2"/>
            <w:vMerge w:val="continue"/>
          </w:tcPr>
          <w:p w14:paraId="139F383D">
            <w:pPr>
              <w:rPr>
                <w:szCs w:val="24"/>
                <w:lang w:eastAsia="zh-CN"/>
              </w:rPr>
            </w:pPr>
          </w:p>
        </w:tc>
        <w:tc>
          <w:tcPr>
            <w:tcW w:w="3870" w:type="pct"/>
            <w:gridSpan w:val="5"/>
            <w:shd w:val="clear" w:color="auto" w:fill="auto"/>
          </w:tcPr>
          <w:p w14:paraId="6943B7A0">
            <w:pPr>
              <w:pStyle w:val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Оказание помощи лиц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val="ru-RU" w:eastAsia="zh-CN"/>
              </w:rPr>
              <w:t>у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 xml:space="preserve"> с одновременным нарушением зрения и слуха (слепоглух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val="ru-RU" w:eastAsia="zh-CN"/>
              </w:rPr>
              <w:t>ому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) в социализации и адаптации, преодолении кризисных ситуаций</w:t>
            </w:r>
          </w:p>
        </w:tc>
      </w:tr>
      <w:tr w14:paraId="1C98185D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9" w:type="pct"/>
            <w:gridSpan w:val="2"/>
            <w:vMerge w:val="continue"/>
          </w:tcPr>
          <w:p w14:paraId="1CB70511">
            <w:pPr>
              <w:rPr>
                <w:szCs w:val="24"/>
                <w:lang w:eastAsia="zh-CN"/>
              </w:rPr>
            </w:pPr>
          </w:p>
        </w:tc>
        <w:tc>
          <w:tcPr>
            <w:tcW w:w="3870" w:type="pct"/>
            <w:gridSpan w:val="5"/>
            <w:shd w:val="clear" w:color="auto" w:fill="auto"/>
            <w:vAlign w:val="center"/>
          </w:tcPr>
          <w:p w14:paraId="344A2C73">
            <w:pPr>
              <w:pStyle w:val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Golos Text" w:cs="Times New Roman"/>
                <w:color w:val="auto"/>
                <w:sz w:val="24"/>
                <w:szCs w:val="24"/>
                <w:shd w:val="clear" w:color="auto" w:fill="FFFFFF"/>
              </w:rPr>
              <w:t>Содействие в разрешении конфликтной ситуации (межличностная, внутриличностная)</w:t>
            </w:r>
          </w:p>
        </w:tc>
      </w:tr>
      <w:tr w14:paraId="591069AA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9" w:type="pct"/>
            <w:gridSpan w:val="2"/>
            <w:vMerge w:val="continue"/>
          </w:tcPr>
          <w:p w14:paraId="6C7D634E">
            <w:pPr>
              <w:rPr>
                <w:szCs w:val="24"/>
                <w:lang w:eastAsia="zh-CN"/>
              </w:rPr>
            </w:pPr>
          </w:p>
        </w:tc>
        <w:tc>
          <w:tcPr>
            <w:tcW w:w="3870" w:type="pct"/>
            <w:gridSpan w:val="5"/>
            <w:shd w:val="clear" w:color="auto" w:fill="auto"/>
            <w:vAlign w:val="center"/>
          </w:tcPr>
          <w:p w14:paraId="0014D4F8">
            <w:pPr>
              <w:spacing w:beforeAutospacing="1" w:afterAutospacing="1"/>
              <w:rPr>
                <w:color w:val="auto"/>
                <w:szCs w:val="24"/>
              </w:rPr>
            </w:pPr>
            <w:r>
              <w:rPr>
                <w:rFonts w:eastAsia="Golos Text"/>
                <w:color w:val="auto"/>
                <w:szCs w:val="24"/>
                <w:shd w:val="clear" w:color="auto" w:fill="FFFFFF"/>
              </w:rPr>
              <w:t>Оказание индивидуальной помощи при поиске работы, создание условий для труда и адаптация на рабочем месте</w:t>
            </w:r>
          </w:p>
        </w:tc>
      </w:tr>
      <w:tr w14:paraId="48F735EF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9" w:type="pct"/>
            <w:gridSpan w:val="2"/>
            <w:vMerge w:val="continue"/>
          </w:tcPr>
          <w:p w14:paraId="7E80B68A">
            <w:pPr>
              <w:rPr>
                <w:szCs w:val="24"/>
                <w:lang w:eastAsia="zh-CN"/>
              </w:rPr>
            </w:pPr>
          </w:p>
        </w:tc>
        <w:tc>
          <w:tcPr>
            <w:tcW w:w="3870" w:type="pct"/>
            <w:gridSpan w:val="5"/>
          </w:tcPr>
          <w:p w14:paraId="2F844356">
            <w:pPr>
              <w:spacing w:beforeAutospacing="1" w:afterAutospacing="1"/>
              <w:rPr>
                <w:color w:val="auto"/>
                <w:szCs w:val="24"/>
              </w:rPr>
            </w:pPr>
            <w:r>
              <w:rPr>
                <w:rFonts w:eastAsia="Golos Text"/>
                <w:color w:val="auto"/>
                <w:szCs w:val="24"/>
                <w:shd w:val="clear" w:color="auto" w:fill="FFFFFF"/>
              </w:rPr>
              <w:t>Содействие в оформлении мер  социальной поддержки (льгот, выплат, других мер поддержки)</w:t>
            </w:r>
          </w:p>
        </w:tc>
      </w:tr>
      <w:tr w14:paraId="595EAE93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9" w:type="pct"/>
            <w:gridSpan w:val="2"/>
            <w:vMerge w:val="continue"/>
          </w:tcPr>
          <w:p w14:paraId="4EDCF9E6">
            <w:pPr>
              <w:rPr>
                <w:szCs w:val="20"/>
              </w:rPr>
            </w:pPr>
          </w:p>
        </w:tc>
        <w:tc>
          <w:tcPr>
            <w:tcW w:w="3870" w:type="pct"/>
            <w:gridSpan w:val="5"/>
            <w:vAlign w:val="center"/>
          </w:tcPr>
          <w:p w14:paraId="04EF285F">
            <w:pPr>
              <w:spacing w:beforeAutospacing="1" w:afterAutospacing="1"/>
              <w:rPr>
                <w:color w:val="auto"/>
                <w:szCs w:val="24"/>
              </w:rPr>
            </w:pPr>
            <w:r>
              <w:rPr>
                <w:rFonts w:eastAsia="Golos Text"/>
                <w:color w:val="auto"/>
                <w:szCs w:val="24"/>
                <w:shd w:val="clear" w:color="auto" w:fill="FFFFFF"/>
              </w:rPr>
              <w:t xml:space="preserve">Оказание помощи в оформлении или восстановлении документов </w:t>
            </w:r>
          </w:p>
        </w:tc>
      </w:tr>
      <w:tr w14:paraId="3064A19D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9" w:type="pct"/>
            <w:gridSpan w:val="2"/>
            <w:vMerge w:val="continue"/>
          </w:tcPr>
          <w:p w14:paraId="205C2C73">
            <w:pPr>
              <w:rPr>
                <w:szCs w:val="20"/>
              </w:rPr>
            </w:pPr>
          </w:p>
        </w:tc>
        <w:tc>
          <w:tcPr>
            <w:tcW w:w="3870" w:type="pct"/>
            <w:gridSpan w:val="5"/>
            <w:vAlign w:val="center"/>
          </w:tcPr>
          <w:p w14:paraId="70026974">
            <w:pPr>
              <w:spacing w:beforeAutospacing="1" w:afterAutospacing="1"/>
              <w:rPr>
                <w:color w:val="auto"/>
                <w:szCs w:val="24"/>
              </w:rPr>
            </w:pPr>
            <w:r>
              <w:rPr>
                <w:rFonts w:eastAsia="Golos Text"/>
                <w:color w:val="auto"/>
                <w:szCs w:val="24"/>
                <w:shd w:val="clear" w:color="auto" w:fill="FFFFFF"/>
              </w:rPr>
              <w:t>Содействие в проведении  медицинской диагностики, в организации стационарного, санаторно-курортного лечения, в направлении на лечение, в оформлении санитарной книжки</w:t>
            </w:r>
          </w:p>
        </w:tc>
      </w:tr>
      <w:tr w14:paraId="1C9F3410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9" w:type="pct"/>
            <w:gridSpan w:val="2"/>
            <w:vMerge w:val="continue"/>
          </w:tcPr>
          <w:p w14:paraId="6E280B13">
            <w:pPr>
              <w:rPr>
                <w:szCs w:val="20"/>
              </w:rPr>
            </w:pPr>
          </w:p>
        </w:tc>
        <w:tc>
          <w:tcPr>
            <w:tcW w:w="3870" w:type="pct"/>
            <w:gridSpan w:val="5"/>
            <w:vAlign w:val="center"/>
          </w:tcPr>
          <w:p w14:paraId="26CA5200">
            <w:pPr>
              <w:spacing w:beforeAutospacing="1" w:afterAutospacing="1"/>
              <w:rPr>
                <w:rFonts w:eastAsia="Golos Text"/>
                <w:color w:val="auto"/>
                <w:szCs w:val="24"/>
                <w:shd w:val="clear" w:color="auto" w:fill="FFFFFF"/>
              </w:rPr>
            </w:pPr>
            <w:r>
              <w:rPr>
                <w:rFonts w:eastAsia="Golos Text"/>
                <w:color w:val="auto"/>
                <w:szCs w:val="24"/>
                <w:shd w:val="clear" w:color="auto" w:fill="FFFFFF"/>
              </w:rPr>
              <w:t xml:space="preserve">Оказание помощи </w:t>
            </w:r>
            <w:r>
              <w:rPr>
                <w:color w:val="auto"/>
                <w:szCs w:val="24"/>
                <w:lang w:eastAsia="zh-CN"/>
              </w:rPr>
              <w:t>лиц</w:t>
            </w:r>
            <w:r>
              <w:rPr>
                <w:color w:val="auto"/>
                <w:szCs w:val="24"/>
                <w:lang w:val="ru-RU" w:eastAsia="zh-CN"/>
              </w:rPr>
              <w:t>у</w:t>
            </w:r>
            <w:r>
              <w:rPr>
                <w:rFonts w:hint="default"/>
                <w:color w:val="auto"/>
                <w:szCs w:val="24"/>
                <w:lang w:val="ru-RU" w:eastAsia="zh-CN"/>
              </w:rPr>
              <w:t xml:space="preserve"> </w:t>
            </w:r>
            <w:r>
              <w:rPr>
                <w:color w:val="auto"/>
                <w:szCs w:val="24"/>
                <w:lang w:eastAsia="zh-CN"/>
              </w:rPr>
              <w:t>с одновременным нарушением зрения и слуха (слепоглух</w:t>
            </w:r>
            <w:r>
              <w:rPr>
                <w:color w:val="auto"/>
                <w:szCs w:val="24"/>
                <w:lang w:val="ru-RU" w:eastAsia="zh-CN"/>
              </w:rPr>
              <w:t>о</w:t>
            </w:r>
            <w:r>
              <w:rPr>
                <w:color w:val="auto"/>
                <w:szCs w:val="24"/>
                <w:lang w:eastAsia="zh-CN"/>
              </w:rPr>
              <w:t>м</w:t>
            </w:r>
            <w:r>
              <w:rPr>
                <w:color w:val="auto"/>
                <w:szCs w:val="24"/>
                <w:lang w:val="ru-RU" w:eastAsia="zh-CN"/>
              </w:rPr>
              <w:t>у</w:t>
            </w:r>
            <w:r>
              <w:rPr>
                <w:color w:val="auto"/>
                <w:szCs w:val="24"/>
                <w:lang w:eastAsia="zh-CN"/>
              </w:rPr>
              <w:t>) при оформлении в образовательные организации</w:t>
            </w:r>
          </w:p>
        </w:tc>
      </w:tr>
      <w:tr w14:paraId="494AEE00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9" w:type="pct"/>
            <w:gridSpan w:val="2"/>
            <w:vMerge w:val="continue"/>
          </w:tcPr>
          <w:p w14:paraId="43734E35">
            <w:pPr>
              <w:rPr>
                <w:szCs w:val="20"/>
              </w:rPr>
            </w:pPr>
          </w:p>
        </w:tc>
        <w:tc>
          <w:tcPr>
            <w:tcW w:w="3870" w:type="pct"/>
            <w:gridSpan w:val="5"/>
            <w:vAlign w:val="center"/>
          </w:tcPr>
          <w:p w14:paraId="41FFA290">
            <w:pPr>
              <w:spacing w:beforeAutospacing="1" w:afterAutospacing="1"/>
              <w:rPr>
                <w:rFonts w:eastAsia="Golos Text"/>
                <w:color w:val="auto"/>
                <w:szCs w:val="24"/>
                <w:shd w:val="clear" w:color="auto" w:fill="FFFFFF"/>
              </w:rPr>
            </w:pPr>
            <w:r>
              <w:rPr>
                <w:rFonts w:eastAsia="Golos Text"/>
                <w:color w:val="auto"/>
                <w:szCs w:val="24"/>
                <w:shd w:val="clear" w:color="auto" w:fill="FFFFFF"/>
              </w:rPr>
              <w:t>Содействие в получении правового консультирования по вопросам гражданского, административного, жилищного, трудового,  уголовного права</w:t>
            </w:r>
          </w:p>
        </w:tc>
      </w:tr>
      <w:tr w14:paraId="3BA9BB76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9" w:type="pct"/>
            <w:gridSpan w:val="2"/>
            <w:vMerge w:val="continue"/>
          </w:tcPr>
          <w:p w14:paraId="59D38762">
            <w:pPr>
              <w:rPr>
                <w:szCs w:val="20"/>
              </w:rPr>
            </w:pPr>
          </w:p>
        </w:tc>
        <w:tc>
          <w:tcPr>
            <w:tcW w:w="3870" w:type="pct"/>
            <w:gridSpan w:val="5"/>
            <w:vAlign w:val="center"/>
          </w:tcPr>
          <w:p w14:paraId="29C8C6F3">
            <w:pPr>
              <w:spacing w:beforeAutospacing="1" w:afterAutospacing="1"/>
              <w:rPr>
                <w:rFonts w:eastAsia="Golos Text"/>
                <w:color w:val="C00000"/>
                <w:szCs w:val="24"/>
                <w:shd w:val="clear" w:color="auto" w:fill="FFFFFF"/>
              </w:rPr>
            </w:pPr>
            <w:r>
              <w:rPr>
                <w:szCs w:val="24"/>
                <w:highlight w:val="none"/>
                <w:lang w:eastAsia="zh-CN"/>
              </w:rPr>
              <w:t>Оказание помощи в обучении лиц</w:t>
            </w:r>
            <w:r>
              <w:rPr>
                <w:szCs w:val="24"/>
                <w:highlight w:val="none"/>
                <w:lang w:val="ru-RU" w:eastAsia="zh-CN"/>
              </w:rPr>
              <w:t>у</w:t>
            </w:r>
            <w:r>
              <w:rPr>
                <w:szCs w:val="24"/>
                <w:highlight w:val="none"/>
                <w:lang w:eastAsia="zh-CN"/>
              </w:rPr>
              <w:t xml:space="preserve"> с одновременным нарушением зрения и слуха (слепоглух</w:t>
            </w:r>
            <w:r>
              <w:rPr>
                <w:szCs w:val="24"/>
                <w:highlight w:val="none"/>
                <w:lang w:val="ru-RU" w:eastAsia="zh-CN"/>
              </w:rPr>
              <w:t>ому</w:t>
            </w:r>
            <w:r>
              <w:rPr>
                <w:szCs w:val="24"/>
                <w:highlight w:val="none"/>
                <w:lang w:eastAsia="zh-CN"/>
              </w:rPr>
              <w:t>) навыкам коммуникации и пространственно</w:t>
            </w:r>
            <w:r>
              <w:rPr>
                <w:color w:val="C00000"/>
                <w:szCs w:val="24"/>
                <w:highlight w:val="none"/>
                <w:lang w:eastAsia="zh-CN"/>
              </w:rPr>
              <w:t>го</w:t>
            </w:r>
            <w:r>
              <w:rPr>
                <w:szCs w:val="24"/>
                <w:highlight w:val="none"/>
                <w:lang w:eastAsia="zh-CN"/>
              </w:rPr>
              <w:t xml:space="preserve"> ориен</w:t>
            </w:r>
            <w:r>
              <w:rPr>
                <w:color w:val="auto"/>
                <w:szCs w:val="24"/>
                <w:highlight w:val="none"/>
                <w:lang w:eastAsia="zh-CN"/>
              </w:rPr>
              <w:t xml:space="preserve">тирования, </w:t>
            </w:r>
            <w:r>
              <w:rPr>
                <w:szCs w:val="24"/>
                <w:highlight w:val="none"/>
                <w:lang w:eastAsia="zh-CN"/>
              </w:rPr>
              <w:t>самостоятельности,  пользованию вспомогательными технологиями</w:t>
            </w:r>
          </w:p>
        </w:tc>
      </w:tr>
      <w:tr w14:paraId="06DEF7EE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1129" w:type="pct"/>
            <w:gridSpan w:val="2"/>
            <w:vMerge w:val="continue"/>
          </w:tcPr>
          <w:p w14:paraId="6F803D14">
            <w:pPr>
              <w:rPr>
                <w:szCs w:val="20"/>
              </w:rPr>
            </w:pPr>
          </w:p>
        </w:tc>
        <w:tc>
          <w:tcPr>
            <w:tcW w:w="3870" w:type="pct"/>
            <w:gridSpan w:val="5"/>
            <w:vAlign w:val="center"/>
          </w:tcPr>
          <w:p w14:paraId="436B4FBE">
            <w:pPr>
              <w:rPr>
                <w:szCs w:val="24"/>
              </w:rPr>
            </w:pPr>
            <w:r>
              <w:rPr>
                <w:szCs w:val="24"/>
              </w:rPr>
              <w:t>Обеспечение безопасности лица с одновременным нарушением зрения и слуха (слепоглухого)</w:t>
            </w:r>
          </w:p>
        </w:tc>
      </w:tr>
      <w:tr w14:paraId="00D1BB35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9" w:type="pct"/>
            <w:gridSpan w:val="2"/>
            <w:vMerge w:val="restart"/>
          </w:tcPr>
          <w:p w14:paraId="32DA1903">
            <w:pPr>
              <w:widowControl w:val="0"/>
              <w:rPr>
                <w:bCs/>
                <w:szCs w:val="20"/>
              </w:rPr>
            </w:pPr>
            <w:r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870" w:type="pct"/>
            <w:gridSpan w:val="5"/>
            <w:shd w:val="clear" w:color="auto" w:fill="auto"/>
          </w:tcPr>
          <w:p w14:paraId="73FE60BA">
            <w:pPr>
              <w:pStyle w:val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eastAsia="sans-serif" w:cs="Times New Roman"/>
                <w:color w:val="auto"/>
                <w:sz w:val="24"/>
                <w:szCs w:val="24"/>
                <w:shd w:val="clear" w:color="auto" w:fill="FFFFFF"/>
                <w:lang w:eastAsia="zh-CN" w:bidi="ar"/>
              </w:rPr>
              <w:t xml:space="preserve">Сопровождать лиц </w:t>
            </w: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с одновременным нарушением зрения и слуха (слепоглухих)</w:t>
            </w:r>
            <w:r>
              <w:rPr>
                <w:rFonts w:ascii="Times New Roman" w:hAnsi="Times New Roman" w:eastAsia="sans-serif" w:cs="Times New Roman"/>
                <w:color w:val="auto"/>
                <w:sz w:val="24"/>
                <w:szCs w:val="24"/>
                <w:shd w:val="clear" w:color="auto" w:fill="FFFFFF"/>
                <w:lang w:eastAsia="zh-CN" w:bidi="ar"/>
              </w:rPr>
              <w:t xml:space="preserve"> в различные организации (органы социальной защиты, здравоохранения, образования и другие организации)</w:t>
            </w:r>
          </w:p>
        </w:tc>
      </w:tr>
      <w:tr w14:paraId="2FAE352A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9" w:type="pct"/>
            <w:gridSpan w:val="2"/>
            <w:vMerge w:val="continue"/>
          </w:tcPr>
          <w:p w14:paraId="1581C97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0" w:type="pct"/>
            <w:gridSpan w:val="5"/>
            <w:shd w:val="clear" w:color="auto" w:fill="auto"/>
          </w:tcPr>
          <w:p w14:paraId="76585A6F">
            <w:pPr>
              <w:pStyle w:val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Использовать различные способы коммуникации (дактилология, жестовый язык, письмо на ладони) на скорости, оптимальной для восприятия информации в зависимости от индивидуальных особенностей лиц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 одновременным нарушением зрения и слуха (слепоглухих)</w:t>
            </w:r>
          </w:p>
        </w:tc>
      </w:tr>
      <w:tr w14:paraId="23A86D62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9" w:type="pct"/>
            <w:gridSpan w:val="2"/>
            <w:vMerge w:val="continue"/>
          </w:tcPr>
          <w:p w14:paraId="31588F5F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0" w:type="pct"/>
            <w:gridSpan w:val="5"/>
            <w:shd w:val="clear" w:color="auto" w:fill="auto"/>
          </w:tcPr>
          <w:p w14:paraId="0111D1C0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Использовать информационно-телекоммуникационную сеть «Интернет» для оказания социального сопровождения </w:t>
            </w:r>
            <w:r>
              <w:rPr>
                <w:color w:val="auto"/>
                <w:szCs w:val="24"/>
              </w:rPr>
              <w:t>лиц</w:t>
            </w:r>
            <w:r>
              <w:rPr>
                <w:color w:val="auto"/>
                <w:szCs w:val="24"/>
                <w:lang w:val="ru-RU"/>
              </w:rPr>
              <w:t>у</w:t>
            </w:r>
            <w:r>
              <w:rPr>
                <w:rFonts w:hint="default"/>
                <w:color w:val="auto"/>
                <w:szCs w:val="24"/>
                <w:lang w:val="ru-RU"/>
              </w:rPr>
              <w:t xml:space="preserve"> </w:t>
            </w:r>
            <w:r>
              <w:rPr>
                <w:color w:val="auto"/>
                <w:szCs w:val="24"/>
              </w:rPr>
              <w:t>с одновременным нарушением зрения и слуха (слепоглух</w:t>
            </w:r>
            <w:r>
              <w:rPr>
                <w:color w:val="auto"/>
                <w:szCs w:val="24"/>
                <w:lang w:val="ru-RU"/>
              </w:rPr>
              <w:t>о</w:t>
            </w:r>
            <w:r>
              <w:rPr>
                <w:color w:val="auto"/>
                <w:szCs w:val="24"/>
              </w:rPr>
              <w:t>м</w:t>
            </w:r>
            <w:r>
              <w:rPr>
                <w:color w:val="auto"/>
                <w:szCs w:val="24"/>
                <w:lang w:val="ru-RU"/>
              </w:rPr>
              <w:t>у</w:t>
            </w:r>
            <w:r>
              <w:rPr>
                <w:color w:val="auto"/>
                <w:szCs w:val="24"/>
              </w:rPr>
              <w:t>)</w:t>
            </w:r>
            <w:r>
              <w:rPr>
                <w:color w:val="auto"/>
              </w:rPr>
              <w:t xml:space="preserve">, включая заполнение форм заявлений </w:t>
            </w:r>
          </w:p>
        </w:tc>
      </w:tr>
      <w:tr w14:paraId="3A6200B2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9" w:type="pct"/>
            <w:gridSpan w:val="2"/>
            <w:vMerge w:val="continue"/>
          </w:tcPr>
          <w:p w14:paraId="4F744953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0" w:type="pct"/>
            <w:gridSpan w:val="5"/>
            <w:shd w:val="clear" w:color="auto" w:fill="auto"/>
          </w:tcPr>
          <w:p w14:paraId="53023740">
            <w:pPr>
              <w:jc w:val="both"/>
              <w:rPr>
                <w:color w:val="auto"/>
              </w:rPr>
            </w:pPr>
            <w:r>
              <w:rPr>
                <w:color w:val="auto"/>
                <w:szCs w:val="24"/>
              </w:rPr>
              <w:t>Оценивать и учитывать физическое и психологическое состояние лиц</w:t>
            </w:r>
            <w:r>
              <w:rPr>
                <w:color w:val="auto"/>
                <w:szCs w:val="24"/>
                <w:lang w:val="ru-RU"/>
              </w:rPr>
              <w:t>а</w:t>
            </w:r>
            <w:r>
              <w:rPr>
                <w:color w:val="auto"/>
                <w:szCs w:val="24"/>
              </w:rPr>
              <w:t xml:space="preserve"> с нарушениями зрения и слуха (слепоглух</w:t>
            </w:r>
            <w:r>
              <w:rPr>
                <w:color w:val="auto"/>
                <w:szCs w:val="24"/>
                <w:lang w:val="ru-RU"/>
              </w:rPr>
              <w:t>ого</w:t>
            </w:r>
            <w:r>
              <w:rPr>
                <w:color w:val="auto"/>
                <w:szCs w:val="24"/>
              </w:rPr>
              <w:t>), проявлять вежливость, внимание и терпение</w:t>
            </w:r>
          </w:p>
        </w:tc>
      </w:tr>
      <w:tr w14:paraId="0ED3B240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9" w:type="pct"/>
            <w:gridSpan w:val="2"/>
            <w:vMerge w:val="continue"/>
          </w:tcPr>
          <w:p w14:paraId="7FFA2B43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0" w:type="pct"/>
            <w:gridSpan w:val="5"/>
            <w:shd w:val="clear" w:color="auto" w:fill="auto"/>
          </w:tcPr>
          <w:p w14:paraId="6E304855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Привлекать профильных специалистов для оказания социального сопровождения </w:t>
            </w:r>
            <w:r>
              <w:rPr>
                <w:color w:val="auto"/>
                <w:szCs w:val="24"/>
              </w:rPr>
              <w:t>лица с одновременным нарушением зрения и слуха (слепоглухого)</w:t>
            </w:r>
          </w:p>
        </w:tc>
      </w:tr>
      <w:tr w14:paraId="1255A000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9" w:type="pct"/>
            <w:gridSpan w:val="2"/>
            <w:vMerge w:val="continue"/>
          </w:tcPr>
          <w:p w14:paraId="30E1A9D1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0" w:type="pct"/>
            <w:gridSpan w:val="5"/>
            <w:shd w:val="clear" w:color="auto" w:fill="auto"/>
          </w:tcPr>
          <w:p w14:paraId="633901BC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Формировать у  </w:t>
            </w:r>
            <w:r>
              <w:rPr>
                <w:color w:val="auto"/>
                <w:szCs w:val="24"/>
                <w:lang w:eastAsia="zh-CN"/>
              </w:rPr>
              <w:t xml:space="preserve">лиц с одновременным нарушением зрения и слуха (слепоглухих) </w:t>
            </w:r>
            <w:r>
              <w:rPr>
                <w:color w:val="auto"/>
              </w:rPr>
              <w:t>позитивное настроение (при необходимости с использованием средств АДК, включая простые грамматические конструкции)</w:t>
            </w:r>
          </w:p>
        </w:tc>
      </w:tr>
      <w:tr w14:paraId="4258DF8D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9" w:type="pct"/>
            <w:gridSpan w:val="2"/>
            <w:vMerge w:val="continue"/>
          </w:tcPr>
          <w:p w14:paraId="4ADE0027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0" w:type="pct"/>
            <w:gridSpan w:val="5"/>
            <w:shd w:val="clear" w:color="auto" w:fill="auto"/>
          </w:tcPr>
          <w:p w14:paraId="358BC72B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Применять технологии мотивации и формирования позитивных интересов</w:t>
            </w:r>
          </w:p>
        </w:tc>
      </w:tr>
      <w:tr w14:paraId="78CFFBFC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9" w:type="pct"/>
            <w:gridSpan w:val="2"/>
            <w:vMerge w:val="continue"/>
          </w:tcPr>
          <w:p w14:paraId="1626BCDE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0" w:type="pct"/>
            <w:gridSpan w:val="5"/>
            <w:shd w:val="clear" w:color="auto" w:fill="auto"/>
          </w:tcPr>
          <w:p w14:paraId="178FE9ED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Организовывать и поддерживать беседу</w:t>
            </w:r>
          </w:p>
        </w:tc>
      </w:tr>
      <w:tr w14:paraId="3224F5CD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9" w:type="pct"/>
            <w:gridSpan w:val="2"/>
            <w:vMerge w:val="continue"/>
          </w:tcPr>
          <w:p w14:paraId="3CF4188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0" w:type="pct"/>
            <w:gridSpan w:val="5"/>
          </w:tcPr>
          <w:p w14:paraId="7D293D63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</w:rPr>
              <w:t xml:space="preserve">Оформлять документы, необходимые для оказания социального сопровождения </w:t>
            </w:r>
            <w:r>
              <w:rPr>
                <w:color w:val="auto"/>
                <w:szCs w:val="24"/>
              </w:rPr>
              <w:t>лицам с одновременным нарушением зрения и слуха (слепоглухим)</w:t>
            </w:r>
            <w:r>
              <w:rPr>
                <w:color w:val="auto"/>
              </w:rPr>
              <w:t xml:space="preserve"> (при необходимости с использованием средств АДК, включая простые грамматические конструкции)</w:t>
            </w:r>
          </w:p>
        </w:tc>
      </w:tr>
      <w:tr w14:paraId="6DC495F3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9" w:type="pct"/>
            <w:gridSpan w:val="2"/>
            <w:vMerge w:val="restart"/>
          </w:tcPr>
          <w:p w14:paraId="40226516">
            <w:pPr>
              <w:rPr>
                <w:szCs w:val="20"/>
              </w:rPr>
            </w:pPr>
            <w:r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0" w:type="pct"/>
            <w:gridSpan w:val="5"/>
            <w:shd w:val="clear" w:color="auto" w:fill="auto"/>
          </w:tcPr>
          <w:p w14:paraId="028CC740">
            <w:pPr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Нормативные правовые акты и инструкции, регулирующие оказание услуг лицам с одновременным нарушением зрения и слуха (слепоглухим) </w:t>
            </w:r>
          </w:p>
        </w:tc>
      </w:tr>
      <w:tr w14:paraId="6D47C558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9" w:type="pct"/>
            <w:gridSpan w:val="2"/>
            <w:vMerge w:val="continue"/>
          </w:tcPr>
          <w:p w14:paraId="22C84646">
            <w:pPr>
              <w:rPr>
                <w:bCs/>
                <w:szCs w:val="20"/>
              </w:rPr>
            </w:pPr>
          </w:p>
        </w:tc>
        <w:tc>
          <w:tcPr>
            <w:tcW w:w="3870" w:type="pct"/>
            <w:gridSpan w:val="5"/>
            <w:shd w:val="clear" w:color="auto" w:fill="auto"/>
          </w:tcPr>
          <w:p w14:paraId="3A17AD2F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Основы организации процесса эффективного взаимодействия с </w:t>
            </w:r>
            <w:r>
              <w:rPr>
                <w:rFonts w:eastAsia="Golos Text"/>
                <w:color w:val="auto"/>
                <w:szCs w:val="24"/>
                <w:shd w:val="clear" w:color="auto" w:fill="FFFFFF"/>
                <w:lang w:eastAsia="zh-CN"/>
              </w:rPr>
              <w:t>лицами с одновременным нарушением зрения и слуха (слепоглухими)</w:t>
            </w:r>
          </w:p>
        </w:tc>
      </w:tr>
      <w:tr w14:paraId="631D189F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9" w:type="pct"/>
            <w:gridSpan w:val="2"/>
            <w:vMerge w:val="continue"/>
          </w:tcPr>
          <w:p w14:paraId="70E6DE9B">
            <w:pPr>
              <w:rPr>
                <w:bCs/>
                <w:szCs w:val="20"/>
              </w:rPr>
            </w:pPr>
          </w:p>
        </w:tc>
        <w:tc>
          <w:tcPr>
            <w:tcW w:w="3870" w:type="pct"/>
            <w:gridSpan w:val="5"/>
          </w:tcPr>
          <w:p w14:paraId="32F9A381">
            <w:pPr>
              <w:pStyle w:val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Рекомендации по организации коммуникативного контакта с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лицами, имеющими одновременно нарушения зрения и слуха (слепоглухими) </w:t>
            </w:r>
          </w:p>
        </w:tc>
      </w:tr>
      <w:tr w14:paraId="3DA2E124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9" w:type="pct"/>
            <w:gridSpan w:val="2"/>
            <w:vMerge w:val="continue"/>
          </w:tcPr>
          <w:p w14:paraId="5E2FC370">
            <w:pPr>
              <w:rPr>
                <w:bCs/>
                <w:szCs w:val="20"/>
              </w:rPr>
            </w:pPr>
          </w:p>
        </w:tc>
        <w:tc>
          <w:tcPr>
            <w:tcW w:w="3870" w:type="pct"/>
            <w:gridSpan w:val="5"/>
          </w:tcPr>
          <w:p w14:paraId="4A51C296">
            <w:pPr>
              <w:pStyle w:val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Различные способы коммуникаций (письмо на ладони, дактилология, жестовый язык)</w:t>
            </w:r>
          </w:p>
        </w:tc>
      </w:tr>
      <w:tr w14:paraId="036F4E29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9" w:type="pct"/>
            <w:gridSpan w:val="2"/>
            <w:vMerge w:val="continue"/>
          </w:tcPr>
          <w:p w14:paraId="2CA3E417">
            <w:pPr>
              <w:rPr>
                <w:bCs/>
                <w:szCs w:val="20"/>
              </w:rPr>
            </w:pPr>
          </w:p>
        </w:tc>
        <w:tc>
          <w:tcPr>
            <w:tcW w:w="3870" w:type="pct"/>
            <w:gridSpan w:val="5"/>
          </w:tcPr>
          <w:p w14:paraId="2672212C">
            <w:pPr>
              <w:pStyle w:val="6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  <w:highlight w:val="none"/>
                <w:lang w:eastAsia="zh-CN" w:bidi="ar"/>
              </w:rPr>
              <w:t>Основные ТСР для лиц с одновременным нарушением зрения и слуха (слепоглухих), в том числе ТСР, используемые при сопровождении</w:t>
            </w: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highlight w:val="none"/>
                <w:lang w:val="ru-RU" w:eastAsia="zh-CN" w:bidi="a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(трость тактильная, трость опорная, собака-поводырь и другие)</w:t>
            </w:r>
          </w:p>
        </w:tc>
      </w:tr>
      <w:tr w14:paraId="13DFA551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29" w:type="pct"/>
            <w:gridSpan w:val="2"/>
            <w:vMerge w:val="continue"/>
          </w:tcPr>
          <w:p w14:paraId="60161EB5">
            <w:pPr>
              <w:rPr>
                <w:bCs/>
                <w:szCs w:val="20"/>
              </w:rPr>
            </w:pPr>
          </w:p>
        </w:tc>
        <w:tc>
          <w:tcPr>
            <w:tcW w:w="3870" w:type="pct"/>
            <w:gridSpan w:val="5"/>
          </w:tcPr>
          <w:p w14:paraId="4BA4FF36">
            <w:pPr>
              <w:pStyle w:val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Особенности использования дактилологии и жестового языка для контактного воспроизведения и предметной области перевода</w:t>
            </w:r>
          </w:p>
        </w:tc>
      </w:tr>
      <w:tr w14:paraId="24080783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9" w:type="pct"/>
            <w:gridSpan w:val="2"/>
            <w:vMerge w:val="continue"/>
          </w:tcPr>
          <w:p w14:paraId="05D5E115">
            <w:pPr>
              <w:rPr>
                <w:bCs/>
                <w:szCs w:val="20"/>
              </w:rPr>
            </w:pPr>
          </w:p>
        </w:tc>
        <w:tc>
          <w:tcPr>
            <w:tcW w:w="3870" w:type="pct"/>
            <w:gridSpan w:val="5"/>
          </w:tcPr>
          <w:p w14:paraId="79288F22">
            <w:pPr>
              <w:pStyle w:val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Особенности сопровождения различных категорий лиц с одновременным нарушением зрения и слуха (слепоглухих) в зависимости от их индивидуальных особенностей</w:t>
            </w:r>
          </w:p>
        </w:tc>
      </w:tr>
      <w:tr w14:paraId="7D39F47B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9" w:type="pct"/>
            <w:gridSpan w:val="2"/>
            <w:vMerge w:val="continue"/>
          </w:tcPr>
          <w:p w14:paraId="5EC7B43D">
            <w:pPr>
              <w:rPr>
                <w:bCs/>
                <w:szCs w:val="20"/>
              </w:rPr>
            </w:pPr>
          </w:p>
        </w:tc>
        <w:tc>
          <w:tcPr>
            <w:tcW w:w="3870" w:type="pct"/>
            <w:gridSpan w:val="5"/>
          </w:tcPr>
          <w:p w14:paraId="10744923">
            <w:pPr>
              <w:pStyle w:val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Golos Text" w:cs="Times New Roman"/>
                <w:color w:val="auto"/>
                <w:sz w:val="24"/>
                <w:szCs w:val="24"/>
                <w:shd w:val="clear" w:color="auto" w:fill="FFFFFF"/>
              </w:rPr>
              <w:t xml:space="preserve">Основные правила сопровождения </w:t>
            </w:r>
            <w:r>
              <w:rPr>
                <w:rFonts w:ascii="Times New Roman" w:hAnsi="Times New Roman" w:eastAsia="Golos Text" w:cs="Times New Roman"/>
                <w:color w:val="auto"/>
                <w:sz w:val="24"/>
                <w:szCs w:val="24"/>
                <w:shd w:val="clear" w:color="auto" w:fill="FFFFFF"/>
                <w:lang w:eastAsia="zh-CN"/>
              </w:rPr>
              <w:t>лиц с одновременным нарушением зрения и слуха (слепоглухих)</w:t>
            </w:r>
            <w:r>
              <w:rPr>
                <w:rFonts w:eastAsia="Golos Text" w:cs="Times New Roman"/>
                <w:color w:val="auto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на мероприятиях, в медицинских и образовательных учреждениях</w:t>
            </w:r>
          </w:p>
        </w:tc>
      </w:tr>
      <w:tr w14:paraId="3D93E451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9" w:type="pct"/>
            <w:gridSpan w:val="2"/>
            <w:vMerge w:val="continue"/>
          </w:tcPr>
          <w:p w14:paraId="2AD73049">
            <w:pPr>
              <w:rPr>
                <w:bCs/>
                <w:szCs w:val="20"/>
              </w:rPr>
            </w:pPr>
          </w:p>
        </w:tc>
        <w:tc>
          <w:tcPr>
            <w:tcW w:w="3870" w:type="pct"/>
            <w:gridSpan w:val="5"/>
          </w:tcPr>
          <w:p w14:paraId="32C7FF24">
            <w:pPr>
              <w:pStyle w:val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и характеристики лиц с одновременным нарушением зрения и слуха (слепоглухих)</w:t>
            </w:r>
          </w:p>
        </w:tc>
      </w:tr>
      <w:tr w14:paraId="34CB43C1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9" w:type="pct"/>
            <w:gridSpan w:val="2"/>
            <w:vMerge w:val="continue"/>
          </w:tcPr>
          <w:p w14:paraId="6DAAC1E7">
            <w:pPr>
              <w:rPr>
                <w:bCs/>
                <w:szCs w:val="20"/>
              </w:rPr>
            </w:pPr>
          </w:p>
        </w:tc>
        <w:tc>
          <w:tcPr>
            <w:tcW w:w="3870" w:type="pct"/>
            <w:gridSpan w:val="5"/>
          </w:tcPr>
          <w:p w14:paraId="4ADDA9E3">
            <w:pPr>
              <w:pStyle w:val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Социокультурные, социально-психологические, психолого-педагогические основы межличностного взаимодействия, особенности психологии личности, в том числе </w:t>
            </w:r>
            <w:r>
              <w:rPr>
                <w:rFonts w:ascii="Times New Roman" w:hAnsi="Times New Roman" w:eastAsia="Golos Text" w:cs="Times New Roman"/>
                <w:color w:val="auto"/>
                <w:sz w:val="24"/>
                <w:szCs w:val="24"/>
                <w:shd w:val="clear" w:color="auto" w:fill="FFFFFF"/>
                <w:lang w:eastAsia="zh-CN"/>
              </w:rPr>
              <w:t>лиц с одновременным нарушением зрения и слуха (слепоглухих)</w:t>
            </w:r>
          </w:p>
        </w:tc>
      </w:tr>
      <w:tr w14:paraId="4E63FF82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9" w:type="pct"/>
            <w:gridSpan w:val="2"/>
            <w:vMerge w:val="continue"/>
          </w:tcPr>
          <w:p w14:paraId="7A21600E">
            <w:pPr>
              <w:rPr>
                <w:bCs/>
                <w:szCs w:val="20"/>
              </w:rPr>
            </w:pPr>
          </w:p>
        </w:tc>
        <w:tc>
          <w:tcPr>
            <w:tcW w:w="3870" w:type="pct"/>
            <w:gridSpan w:val="5"/>
          </w:tcPr>
          <w:p w14:paraId="5D151CD6">
            <w:pPr>
              <w:pStyle w:val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Основы самоорганизации и самообразования лица с одновременным нарушением зрения и слуха (слепоглухого)</w:t>
            </w:r>
          </w:p>
        </w:tc>
      </w:tr>
      <w:tr w14:paraId="5FCE5D6A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9" w:type="pct"/>
            <w:gridSpan w:val="2"/>
            <w:vMerge w:val="continue"/>
          </w:tcPr>
          <w:p w14:paraId="2CD5426B">
            <w:pPr>
              <w:rPr>
                <w:bCs/>
                <w:szCs w:val="20"/>
              </w:rPr>
            </w:pPr>
          </w:p>
        </w:tc>
        <w:tc>
          <w:tcPr>
            <w:tcW w:w="3870" w:type="pct"/>
            <w:gridSpan w:val="5"/>
          </w:tcPr>
          <w:p w14:paraId="2CF57676">
            <w:pPr>
              <w:pStyle w:val="60"/>
              <w:jc w:val="both"/>
              <w:rPr>
                <w:rFonts w:ascii="Times New Roman" w:hAnsi="Times New Roman" w:eastAsia="Golos Text" w:cs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Golos Text" w:cs="Times New Roman"/>
                <w:color w:val="auto"/>
                <w:sz w:val="24"/>
                <w:szCs w:val="24"/>
                <w:shd w:val="clear" w:color="auto" w:fill="FFFFFF"/>
              </w:rPr>
              <w:t xml:space="preserve">Правила межличностного общения, этики делового общения и межкультурной коммуникации, особенности общения с </w:t>
            </w:r>
            <w:r>
              <w:rPr>
                <w:rFonts w:ascii="Times New Roman" w:hAnsi="Times New Roman" w:eastAsia="Golos Text" w:cs="Times New Roman"/>
                <w:color w:val="auto"/>
                <w:sz w:val="24"/>
                <w:szCs w:val="24"/>
                <w:shd w:val="clear" w:color="auto" w:fill="FFFFFF"/>
                <w:lang w:eastAsia="zh-CN"/>
              </w:rPr>
              <w:t>лицами с одновременным нарушением зрения и слуха (слепоглухими)</w:t>
            </w:r>
          </w:p>
        </w:tc>
      </w:tr>
      <w:tr w14:paraId="7FAACBFD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29" w:type="pct"/>
            <w:gridSpan w:val="2"/>
            <w:vMerge w:val="continue"/>
          </w:tcPr>
          <w:p w14:paraId="0AE28F77">
            <w:pPr>
              <w:rPr>
                <w:bCs/>
                <w:szCs w:val="20"/>
              </w:rPr>
            </w:pPr>
          </w:p>
        </w:tc>
        <w:tc>
          <w:tcPr>
            <w:tcW w:w="3870" w:type="pct"/>
            <w:gridSpan w:val="5"/>
            <w:vAlign w:val="center"/>
          </w:tcPr>
          <w:p w14:paraId="30A6878C">
            <w:pPr>
              <w:pStyle w:val="6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Виды, структура и содержание документов, необходимых для оказания услуги тифлосурдоперевода, тифлосурдосопровождения</w:t>
            </w:r>
          </w:p>
        </w:tc>
      </w:tr>
      <w:tr w14:paraId="346CECA4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9" w:type="pct"/>
            <w:gridSpan w:val="2"/>
          </w:tcPr>
          <w:p w14:paraId="5660A9B6">
            <w:pPr>
              <w:widowControl w:val="0"/>
              <w:rPr>
                <w:bCs/>
                <w:szCs w:val="20"/>
              </w:rPr>
            </w:pPr>
            <w:r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0" w:type="pct"/>
            <w:gridSpan w:val="5"/>
          </w:tcPr>
          <w:p w14:paraId="555B8E3F">
            <w:pPr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</w:tbl>
    <w:p w14:paraId="6E14E4BF">
      <w:pPr>
        <w:ind w:firstLine="709"/>
      </w:pPr>
    </w:p>
    <w:p w14:paraId="2BBC1588">
      <w:r>
        <w:rPr>
          <w:b/>
          <w:szCs w:val="20"/>
        </w:rPr>
        <w:t>3.1.3. Трудовая функция</w:t>
      </w:r>
    </w:p>
    <w:p w14:paraId="6992BF78"/>
    <w:tbl>
      <w:tblPr>
        <w:tblStyle w:val="12"/>
        <w:tblW w:w="4905" w:type="pct"/>
        <w:tblInd w:w="5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4577"/>
        <w:gridCol w:w="613"/>
        <w:gridCol w:w="1037"/>
        <w:gridCol w:w="1401"/>
        <w:gridCol w:w="1080"/>
      </w:tblGrid>
      <w:tr w14:paraId="73F04D1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41" w:type="pct"/>
            <w:tcBorders>
              <w:top w:val="nil"/>
              <w:bottom w:val="nil"/>
              <w:right w:val="single" w:color="808080" w:sz="4" w:space="0"/>
            </w:tcBorders>
            <w:vAlign w:val="center"/>
          </w:tcPr>
          <w:p w14:paraId="3DC86038">
            <w:pPr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37" w:type="pct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14:paraId="4B202753">
            <w:pPr>
              <w:rPr>
                <w:szCs w:val="24"/>
              </w:rPr>
            </w:pPr>
            <w:r>
              <w:rPr>
                <w:color w:val="auto"/>
              </w:rPr>
              <w:t>Тифлосурдокомментирование с целью обеспечения информационной доступности окружающей среды</w:t>
            </w:r>
          </w:p>
        </w:tc>
        <w:tc>
          <w:tcPr>
            <w:tcW w:w="300" w:type="pct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</w:tcPr>
          <w:p w14:paraId="2B9172F8">
            <w:pPr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>Код</w:t>
            </w:r>
          </w:p>
        </w:tc>
        <w:tc>
          <w:tcPr>
            <w:tcW w:w="507" w:type="pct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center"/>
          </w:tcPr>
          <w:p w14:paraId="05F4697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А/03.5</w:t>
            </w:r>
          </w:p>
        </w:tc>
        <w:tc>
          <w:tcPr>
            <w:tcW w:w="685" w:type="pct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</w:tcPr>
          <w:p w14:paraId="0C7DC342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528" w:type="pct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center"/>
          </w:tcPr>
          <w:p w14:paraId="4FB87F1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</w:tbl>
    <w:p w14:paraId="64CABDAD"/>
    <w:tbl>
      <w:tblPr>
        <w:tblStyle w:val="12"/>
        <w:tblW w:w="4948" w:type="pct"/>
        <w:tblInd w:w="2" w:type="dxa"/>
        <w:tblBorders>
          <w:top w:val="single" w:color="7F7F7F" w:sz="2" w:space="0"/>
          <w:left w:val="single" w:color="7F7F7F" w:sz="2" w:space="0"/>
          <w:bottom w:val="single" w:color="7F7F7F" w:sz="2" w:space="0"/>
          <w:right w:val="single" w:color="7F7F7F" w:sz="2" w:space="0"/>
          <w:insideH w:val="single" w:color="7F7F7F" w:sz="2" w:space="0"/>
          <w:insideV w:val="single" w:color="7F7F7F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8"/>
        <w:gridCol w:w="8006"/>
      </w:tblGrid>
      <w:tr w14:paraId="5A03D584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8" w:type="pct"/>
            <w:vMerge w:val="restart"/>
          </w:tcPr>
          <w:p w14:paraId="50DB90F4">
            <w:pPr>
              <w:rPr>
                <w:szCs w:val="20"/>
              </w:rPr>
            </w:pPr>
            <w:r>
              <w:rPr>
                <w:szCs w:val="20"/>
              </w:rPr>
              <w:t>Трудовые действия</w:t>
            </w:r>
          </w:p>
        </w:tc>
        <w:tc>
          <w:tcPr>
            <w:tcW w:w="3881" w:type="pct"/>
          </w:tcPr>
          <w:p w14:paraId="1254CB31">
            <w:pPr>
              <w:rPr>
                <w:szCs w:val="24"/>
              </w:rPr>
            </w:pPr>
            <w:r>
              <w:rPr>
                <w:szCs w:val="24"/>
              </w:rPr>
              <w:t>Проведение анализа окружающей информации, получаемой посредством наблюдения за внешней обстановкой, событиями, людьми</w:t>
            </w:r>
          </w:p>
        </w:tc>
      </w:tr>
      <w:tr w14:paraId="2AA86C8F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8" w:type="pct"/>
            <w:vMerge w:val="continue"/>
          </w:tcPr>
          <w:p w14:paraId="393B62EC">
            <w:pPr>
              <w:rPr>
                <w:szCs w:val="20"/>
              </w:rPr>
            </w:pPr>
          </w:p>
        </w:tc>
        <w:tc>
          <w:tcPr>
            <w:tcW w:w="3881" w:type="pct"/>
          </w:tcPr>
          <w:p w14:paraId="1AB9E8FA">
            <w:pPr>
              <w:rPr>
                <w:color w:val="auto"/>
                <w:szCs w:val="24"/>
                <w:highlight w:val="none"/>
              </w:rPr>
            </w:pPr>
            <w:r>
              <w:rPr>
                <w:color w:val="auto"/>
                <w:szCs w:val="24"/>
                <w:highlight w:val="none"/>
              </w:rPr>
              <w:t>Определение первостепенных элементов, необходимых для описания окружающей обстановки лицам с одновременным нарушением зрения и слуха (слепоглухим)</w:t>
            </w:r>
          </w:p>
        </w:tc>
      </w:tr>
      <w:tr w14:paraId="6BDC2C96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8" w:type="pct"/>
            <w:vMerge w:val="continue"/>
          </w:tcPr>
          <w:p w14:paraId="541791CA">
            <w:pPr>
              <w:rPr>
                <w:szCs w:val="20"/>
              </w:rPr>
            </w:pPr>
          </w:p>
        </w:tc>
        <w:tc>
          <w:tcPr>
            <w:tcW w:w="3881" w:type="pct"/>
          </w:tcPr>
          <w:p w14:paraId="75290C38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Подбор необходимого способа донесения информации о внешней обстановке лицу с одновременным нарушением зрения и слуха (слепоглухому)</w:t>
            </w:r>
          </w:p>
        </w:tc>
      </w:tr>
      <w:tr w14:paraId="3380B39C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8" w:type="pct"/>
            <w:vMerge w:val="continue"/>
          </w:tcPr>
          <w:p w14:paraId="78FB48FC">
            <w:pPr>
              <w:rPr>
                <w:szCs w:val="20"/>
              </w:rPr>
            </w:pPr>
          </w:p>
        </w:tc>
        <w:tc>
          <w:tcPr>
            <w:tcW w:w="3881" w:type="pct"/>
          </w:tcPr>
          <w:p w14:paraId="284E8ECD">
            <w:pPr>
              <w:rPr>
                <w:color w:val="auto"/>
                <w:szCs w:val="24"/>
                <w:highlight w:val="none"/>
              </w:rPr>
            </w:pPr>
            <w:r>
              <w:rPr>
                <w:color w:val="auto"/>
                <w:szCs w:val="24"/>
                <w:highlight w:val="none"/>
              </w:rPr>
              <w:t>Описание основных визуальных и звуковых особенностей окружающей среды и коммуниканта лицу с нарушением зрения и слуха, используя понятный язык с четкими и лаконичными выражениями</w:t>
            </w:r>
          </w:p>
        </w:tc>
      </w:tr>
      <w:tr w14:paraId="1AAC29E1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8" w:type="pct"/>
            <w:vMerge w:val="continue"/>
          </w:tcPr>
          <w:p w14:paraId="16E66633">
            <w:pPr>
              <w:rPr>
                <w:szCs w:val="20"/>
              </w:rPr>
            </w:pPr>
          </w:p>
        </w:tc>
        <w:tc>
          <w:tcPr>
            <w:tcW w:w="3881" w:type="pct"/>
          </w:tcPr>
          <w:p w14:paraId="704176B1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Подбор необходимых средств коммуникации с учетом специфики лиц</w:t>
            </w:r>
            <w:r>
              <w:rPr>
                <w:color w:val="auto"/>
                <w:szCs w:val="24"/>
                <w:lang w:val="ru-RU"/>
              </w:rPr>
              <w:t>а</w:t>
            </w:r>
            <w:r>
              <w:rPr>
                <w:color w:val="auto"/>
                <w:szCs w:val="24"/>
              </w:rPr>
              <w:t xml:space="preserve"> с одновременным нарушением зрения и слуха (слепоглух</w:t>
            </w:r>
            <w:r>
              <w:rPr>
                <w:color w:val="auto"/>
                <w:szCs w:val="24"/>
                <w:lang w:val="ru-RU"/>
              </w:rPr>
              <w:t>ого</w:t>
            </w:r>
            <w:r>
              <w:rPr>
                <w:color w:val="auto"/>
                <w:szCs w:val="24"/>
              </w:rPr>
              <w:t>)</w:t>
            </w:r>
          </w:p>
        </w:tc>
      </w:tr>
      <w:tr w14:paraId="0983A568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8" w:type="pct"/>
            <w:vMerge w:val="continue"/>
          </w:tcPr>
          <w:p w14:paraId="449B095D">
            <w:pPr>
              <w:rPr>
                <w:szCs w:val="20"/>
              </w:rPr>
            </w:pPr>
          </w:p>
        </w:tc>
        <w:tc>
          <w:tcPr>
            <w:tcW w:w="3881" w:type="pct"/>
            <w:shd w:val="clear" w:color="auto" w:fill="auto"/>
          </w:tcPr>
          <w:p w14:paraId="3A5FD538">
            <w:pPr>
              <w:pStyle w:val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Cs w:val="24"/>
                <w:highlight w:val="none"/>
                <w:lang w:eastAsia="zh-CN"/>
              </w:rPr>
              <w:t>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спользование различных способов коммуникации (письмо на ладони (дермография), дактилология, жестовый язык)</w:t>
            </w:r>
          </w:p>
        </w:tc>
      </w:tr>
      <w:tr w14:paraId="68422946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8" w:type="pct"/>
            <w:vMerge w:val="continue"/>
          </w:tcPr>
          <w:p w14:paraId="4A1DFC69">
            <w:pPr>
              <w:rPr>
                <w:szCs w:val="20"/>
              </w:rPr>
            </w:pPr>
          </w:p>
        </w:tc>
        <w:tc>
          <w:tcPr>
            <w:tcW w:w="3881" w:type="pct"/>
            <w:shd w:val="clear" w:color="auto" w:fill="auto"/>
          </w:tcPr>
          <w:p w14:paraId="52FD1636">
            <w:pPr>
              <w:rPr>
                <w:szCs w:val="24"/>
                <w:highlight w:val="green"/>
              </w:rPr>
            </w:pPr>
            <w:r>
              <w:rPr>
                <w:szCs w:val="24"/>
                <w:lang w:eastAsia="zh-CN"/>
              </w:rPr>
              <w:t>Обеспечение доступа к информации посредством перевода устной речи в тактильную форму, чтение текстов, описание визуальной информации</w:t>
            </w:r>
          </w:p>
        </w:tc>
      </w:tr>
      <w:tr w14:paraId="1A2910A8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118" w:type="pct"/>
            <w:vMerge w:val="continue"/>
          </w:tcPr>
          <w:p w14:paraId="655B00B2">
            <w:pPr>
              <w:rPr>
                <w:szCs w:val="20"/>
              </w:rPr>
            </w:pPr>
          </w:p>
        </w:tc>
        <w:tc>
          <w:tcPr>
            <w:tcW w:w="3881" w:type="pct"/>
            <w:shd w:val="clear" w:color="auto" w:fill="auto"/>
            <w:vAlign w:val="top"/>
          </w:tcPr>
          <w:p w14:paraId="6F3688C0">
            <w:pPr>
              <w:pStyle w:val="60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eastAsia="sans-serif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Предварительная подготовка к осуществлению тифлосурдокомментирования  по соответствующей тематике</w:t>
            </w:r>
          </w:p>
        </w:tc>
      </w:tr>
      <w:tr w14:paraId="4B6F4215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8" w:type="pct"/>
            <w:vMerge w:val="continue"/>
          </w:tcPr>
          <w:p w14:paraId="3470CDE1">
            <w:pPr>
              <w:rPr>
                <w:szCs w:val="20"/>
              </w:rPr>
            </w:pPr>
          </w:p>
        </w:tc>
        <w:tc>
          <w:tcPr>
            <w:tcW w:w="3881" w:type="pct"/>
            <w:shd w:val="clear" w:color="auto" w:fill="auto"/>
          </w:tcPr>
          <w:p w14:paraId="66970A33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Тифлосурдокомментировние при показе фильмов, телепередач, театральных постановок; на культурно-массовых и спортивных мероприятиях; при посещении музеев, выставок, исторических мест; при работе с интернет-контентом, содержащим визуальную информацию</w:t>
            </w:r>
          </w:p>
        </w:tc>
      </w:tr>
      <w:tr w14:paraId="324A987C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1118" w:type="pct"/>
            <w:vMerge w:val="continue"/>
          </w:tcPr>
          <w:p w14:paraId="1B57E34A">
            <w:pPr>
              <w:rPr>
                <w:szCs w:val="20"/>
              </w:rPr>
            </w:pPr>
          </w:p>
        </w:tc>
        <w:tc>
          <w:tcPr>
            <w:tcW w:w="3881" w:type="pct"/>
            <w:vAlign w:val="center"/>
          </w:tcPr>
          <w:p w14:paraId="15B74123">
            <w:pPr>
              <w:pStyle w:val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Обеспечение безопасности лица с одновременным нарушением зрения и слуха (слепоглух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ого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х)</w:t>
            </w:r>
          </w:p>
        </w:tc>
      </w:tr>
      <w:tr w14:paraId="7BDA28C6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8" w:type="pct"/>
            <w:vMerge w:val="restart"/>
          </w:tcPr>
          <w:p w14:paraId="72C88C6F">
            <w:pPr>
              <w:widowControl w:val="0"/>
              <w:rPr>
                <w:bCs/>
                <w:szCs w:val="20"/>
              </w:rPr>
            </w:pPr>
            <w:r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881" w:type="pct"/>
          </w:tcPr>
          <w:p w14:paraId="12C071CB">
            <w:pPr>
              <w:pStyle w:val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  <w:t>Осуществлять тифлосурдокомментирование объекта без предварительной подготовки в режиме реального времени</w:t>
            </w:r>
          </w:p>
        </w:tc>
      </w:tr>
      <w:tr w14:paraId="249337A2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8" w:type="pct"/>
            <w:vMerge w:val="continue"/>
          </w:tcPr>
          <w:p w14:paraId="2969E439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1" w:type="pct"/>
            <w:shd w:val="clear" w:color="auto" w:fill="auto"/>
          </w:tcPr>
          <w:p w14:paraId="37EA6C1B">
            <w:pPr>
              <w:pStyle w:val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  <w:t xml:space="preserve">Видеть и интерпретировать увиденное, при этом четко формулировать описание предмета, явления из окружающей обстановки, события и людей </w:t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  <w:highlight w:val="none"/>
              </w:rPr>
              <w:t>с 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  <w:t>спользованием жестового языка и дактилологии</w:t>
            </w:r>
          </w:p>
        </w:tc>
      </w:tr>
      <w:tr w14:paraId="3C2B5A10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8" w:type="pct"/>
            <w:vMerge w:val="continue"/>
          </w:tcPr>
          <w:p w14:paraId="21EFD86D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1" w:type="pct"/>
            <w:shd w:val="clear" w:color="auto" w:fill="auto"/>
          </w:tcPr>
          <w:p w14:paraId="523EB442">
            <w:pPr>
              <w:pStyle w:val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  <w:t>Ранжировать детали описания на более и менее важные, а также уметь обращать внимание слепоглухих лиц на эти детали</w:t>
            </w:r>
          </w:p>
        </w:tc>
      </w:tr>
      <w:tr w14:paraId="3B413776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8" w:type="pct"/>
            <w:vMerge w:val="continue"/>
          </w:tcPr>
          <w:p w14:paraId="626EB99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1" w:type="pct"/>
          </w:tcPr>
          <w:p w14:paraId="71A753A8">
            <w:pPr>
              <w:pStyle w:val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  <w:t xml:space="preserve"> Осуществлять выбор времени/момента передачи информации о внешнем мире/окружающей среде</w:t>
            </w:r>
          </w:p>
        </w:tc>
      </w:tr>
      <w:tr w14:paraId="4184DCCD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8" w:type="pct"/>
            <w:vMerge w:val="continue"/>
          </w:tcPr>
          <w:p w14:paraId="4FF9853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1" w:type="pct"/>
          </w:tcPr>
          <w:p w14:paraId="327805D7">
            <w:pPr>
              <w:pStyle w:val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Использовать в работе технические средства тифлосурдокоммуникации</w:t>
            </w:r>
          </w:p>
        </w:tc>
      </w:tr>
      <w:tr w14:paraId="50DD864B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8" w:type="pct"/>
            <w:vMerge w:val="continue"/>
          </w:tcPr>
          <w:p w14:paraId="6F91E64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1" w:type="pct"/>
          </w:tcPr>
          <w:p w14:paraId="3B953F13">
            <w:pPr>
              <w:pStyle w:val="60"/>
              <w:jc w:val="both"/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  <w:t xml:space="preserve">Использовать различные способы коммуникации (дактилология, жестовый язык, письмо на ладони) на скорости, сопоставимой с темпом устной речи и наиболее приемлемой для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лица с одновременным нарушением зрения и слуха (слепоглухого)</w:t>
            </w:r>
          </w:p>
        </w:tc>
      </w:tr>
      <w:tr w14:paraId="461709B3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8" w:type="pct"/>
            <w:vMerge w:val="continue"/>
          </w:tcPr>
          <w:p w14:paraId="2CA622F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1" w:type="pct"/>
          </w:tcPr>
          <w:p w14:paraId="1CB77BDA">
            <w:pPr>
              <w:pStyle w:val="60"/>
              <w:jc w:val="both"/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  <w:t>Подбирать необходимый смысловой жестовый эквивалент</w:t>
            </w:r>
          </w:p>
        </w:tc>
      </w:tr>
      <w:tr w14:paraId="6E3F55EE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8" w:type="pct"/>
            <w:vMerge w:val="continue"/>
          </w:tcPr>
          <w:p w14:paraId="6BDA1590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1" w:type="pct"/>
          </w:tcPr>
          <w:p w14:paraId="287A1333">
            <w:pPr>
              <w:pStyle w:val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Устанавливать контакт с лицами, имеющими одновременные нарушения зрения и слуха (слепоглухими)</w:t>
            </w:r>
          </w:p>
        </w:tc>
      </w:tr>
      <w:tr w14:paraId="1C520460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8" w:type="pct"/>
            <w:vMerge w:val="continue"/>
          </w:tcPr>
          <w:p w14:paraId="788D49B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1" w:type="pct"/>
          </w:tcPr>
          <w:p w14:paraId="2E70F378">
            <w:pPr>
              <w:pStyle w:val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  <w:t>Пользоваться поисковыми справочными, аналитическими системами, информационными ресурсами, базами данных и цифровыми сервисами</w:t>
            </w:r>
          </w:p>
        </w:tc>
      </w:tr>
      <w:tr w14:paraId="4B66050B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8" w:type="pct"/>
            <w:vMerge w:val="continue"/>
          </w:tcPr>
          <w:p w14:paraId="648507C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1" w:type="pct"/>
          </w:tcPr>
          <w:p w14:paraId="0E7CFABD">
            <w:pPr>
              <w:pStyle w:val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Оценивать и учитывать физическое и психологическое состояние лиц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одновременными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нарушениями зрения и слуха (слепоглух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ого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), проявлять вежливость, внимание и терпение</w:t>
            </w:r>
          </w:p>
        </w:tc>
      </w:tr>
      <w:tr w14:paraId="676F46F9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8" w:type="pct"/>
            <w:vMerge w:val="continue"/>
          </w:tcPr>
          <w:p w14:paraId="0EA64ACD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1" w:type="pct"/>
          </w:tcPr>
          <w:p w14:paraId="2EDF0DA4">
            <w:pPr>
              <w:pStyle w:val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  <w:t xml:space="preserve">Составлять текст тифлосурдокомментария с учетом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индивидуальных особенностей лиц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 одновременным нарушени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 зрения и слуха (слепоглух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ого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</w:p>
        </w:tc>
      </w:tr>
      <w:tr w14:paraId="2199A9C0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18" w:type="pct"/>
            <w:vMerge w:val="continue"/>
          </w:tcPr>
          <w:p w14:paraId="175F2107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1" w:type="pct"/>
          </w:tcPr>
          <w:p w14:paraId="302F4C94">
            <w:pPr>
              <w:pStyle w:val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</w:rPr>
              <w:t>Оформлять текст тифлосурдокомментария с применением информационных технологий</w:t>
            </w:r>
          </w:p>
        </w:tc>
      </w:tr>
      <w:tr w14:paraId="31313641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18" w:type="pct"/>
            <w:vMerge w:val="restart"/>
          </w:tcPr>
          <w:p w14:paraId="1F11F861">
            <w:pPr>
              <w:rPr>
                <w:szCs w:val="20"/>
              </w:rPr>
            </w:pPr>
            <w:r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81" w:type="pct"/>
          </w:tcPr>
          <w:p w14:paraId="0F725B9C">
            <w:pPr>
              <w:pStyle w:val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Нормативные правовые акты и инструкции, регулирующие оказание услуг лицам с одновременным нарушением зрения и слуха (слепоглухим) </w:t>
            </w:r>
          </w:p>
        </w:tc>
      </w:tr>
      <w:tr w14:paraId="1D884FDE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8" w:type="pct"/>
            <w:vMerge w:val="continue"/>
          </w:tcPr>
          <w:p w14:paraId="01D883AA">
            <w:pPr>
              <w:rPr>
                <w:bCs/>
                <w:szCs w:val="20"/>
              </w:rPr>
            </w:pPr>
          </w:p>
        </w:tc>
        <w:tc>
          <w:tcPr>
            <w:tcW w:w="3881" w:type="pct"/>
          </w:tcPr>
          <w:p w14:paraId="229C7882">
            <w:pPr>
              <w:pStyle w:val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Рекомендации по организации коммуникативного контакта с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лиц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ом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имеющими одновременно нарушения зрения и слуха (слепоглухими) </w:t>
            </w:r>
          </w:p>
        </w:tc>
      </w:tr>
      <w:tr w14:paraId="764168E9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8" w:type="pct"/>
            <w:vMerge w:val="continue"/>
          </w:tcPr>
          <w:p w14:paraId="74CBFE36">
            <w:pPr>
              <w:rPr>
                <w:bCs/>
                <w:szCs w:val="20"/>
              </w:rPr>
            </w:pPr>
          </w:p>
        </w:tc>
        <w:tc>
          <w:tcPr>
            <w:tcW w:w="3881" w:type="pct"/>
          </w:tcPr>
          <w:p w14:paraId="2797C7D5">
            <w:pPr>
              <w:pStyle w:val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Правила тифлосурдокомментирования различных объектов (статичных объектов, динамичных аудиовизуальных объектов, описание различных звуков, музыки) для лиц с одновременным нарушением зрения и слуха (слепоглухих)</w:t>
            </w:r>
          </w:p>
        </w:tc>
      </w:tr>
      <w:tr w14:paraId="0A97BE59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8" w:type="pct"/>
            <w:vMerge w:val="continue"/>
          </w:tcPr>
          <w:p w14:paraId="4E557418">
            <w:pPr>
              <w:rPr>
                <w:bCs/>
                <w:szCs w:val="20"/>
              </w:rPr>
            </w:pPr>
          </w:p>
        </w:tc>
        <w:tc>
          <w:tcPr>
            <w:tcW w:w="3881" w:type="pct"/>
          </w:tcPr>
          <w:p w14:paraId="255A0C54">
            <w:pPr>
              <w:pStyle w:val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Различные способы коммуникаций (письмо на ладони, дактилология, жестовый язык)</w:t>
            </w:r>
          </w:p>
        </w:tc>
      </w:tr>
      <w:tr w14:paraId="6D0DBB9C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8" w:type="pct"/>
            <w:vMerge w:val="continue"/>
          </w:tcPr>
          <w:p w14:paraId="7A6E08E9">
            <w:pPr>
              <w:rPr>
                <w:bCs/>
                <w:szCs w:val="20"/>
              </w:rPr>
            </w:pPr>
          </w:p>
        </w:tc>
        <w:tc>
          <w:tcPr>
            <w:tcW w:w="3881" w:type="pct"/>
          </w:tcPr>
          <w:p w14:paraId="6A58D5C4">
            <w:pPr>
              <w:pStyle w:val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  <w:highlight w:val="none"/>
                <w:lang w:eastAsia="zh-CN" w:bidi="ar"/>
              </w:rPr>
              <w:t>Основные ТСР для лиц с одновременным нарушением зрения и слуха (слепоглухих), в том числе ТСР, используемые при сопровождении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</w:rPr>
              <w:t>(слуховой аппарат, кохлеарный имплант, брайлевский дисплей и другие)</w:t>
            </w:r>
          </w:p>
        </w:tc>
      </w:tr>
      <w:tr w14:paraId="586CF065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8" w:type="pct"/>
            <w:vMerge w:val="continue"/>
          </w:tcPr>
          <w:p w14:paraId="42E32FBB">
            <w:pPr>
              <w:rPr>
                <w:bCs/>
                <w:szCs w:val="20"/>
              </w:rPr>
            </w:pPr>
          </w:p>
        </w:tc>
        <w:tc>
          <w:tcPr>
            <w:tcW w:w="3881" w:type="pct"/>
          </w:tcPr>
          <w:p w14:paraId="20AAEDAE">
            <w:pPr>
              <w:pStyle w:val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Особенности использования дактилологии и жестовой речи для контактного воспроизведения и предметной области тифлосурдоперевода</w:t>
            </w:r>
          </w:p>
        </w:tc>
      </w:tr>
      <w:tr w14:paraId="71B742E0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8" w:type="pct"/>
            <w:vMerge w:val="continue"/>
          </w:tcPr>
          <w:p w14:paraId="335258AC">
            <w:pPr>
              <w:rPr>
                <w:bCs/>
                <w:szCs w:val="20"/>
              </w:rPr>
            </w:pPr>
          </w:p>
        </w:tc>
        <w:tc>
          <w:tcPr>
            <w:tcW w:w="3881" w:type="pct"/>
          </w:tcPr>
          <w:p w14:paraId="79209313">
            <w:pPr>
              <w:pStyle w:val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Типы и характеристики лиц с одновременным нарушением зрения и слуха (слепоглухих)</w:t>
            </w:r>
          </w:p>
        </w:tc>
      </w:tr>
      <w:tr w14:paraId="2BC6938F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8" w:type="pct"/>
            <w:vMerge w:val="continue"/>
          </w:tcPr>
          <w:p w14:paraId="16C03803">
            <w:pPr>
              <w:rPr>
                <w:bCs/>
                <w:szCs w:val="20"/>
              </w:rPr>
            </w:pPr>
          </w:p>
        </w:tc>
        <w:tc>
          <w:tcPr>
            <w:tcW w:w="3881" w:type="pct"/>
          </w:tcPr>
          <w:p w14:paraId="18FA6A62">
            <w:pPr>
              <w:pStyle w:val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  <w:lang w:eastAsia="zh-CN" w:bidi="ar"/>
              </w:rPr>
              <w:t xml:space="preserve">Особенности восприятия информации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лицами,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одновременны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нарушени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ем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зрения и слуха (слепоглухими), </w:t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  <w:lang w:eastAsia="zh-CN" w:bidi="ar"/>
              </w:rPr>
              <w:t>в зависимости от их индивидуальных особенностей</w:t>
            </w:r>
          </w:p>
        </w:tc>
      </w:tr>
      <w:tr w14:paraId="2C42AB61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8" w:type="pct"/>
            <w:vMerge w:val="continue"/>
          </w:tcPr>
          <w:p w14:paraId="140BF3AA">
            <w:pPr>
              <w:rPr>
                <w:bCs/>
                <w:szCs w:val="20"/>
              </w:rPr>
            </w:pPr>
          </w:p>
        </w:tc>
        <w:tc>
          <w:tcPr>
            <w:tcW w:w="3881" w:type="pct"/>
          </w:tcPr>
          <w:p w14:paraId="4DF6E203">
            <w:pPr>
              <w:pStyle w:val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  <w:lang w:val="en-US" w:eastAsia="zh-CN" w:bidi="ar"/>
              </w:rPr>
              <w:t>Этапы подготовки тифло</w:t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  <w:lang w:eastAsia="zh-CN" w:bidi="ar"/>
              </w:rPr>
              <w:t>сурдо</w:t>
            </w: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  <w:lang w:val="en-US" w:eastAsia="zh-CN" w:bidi="ar"/>
              </w:rPr>
              <w:t>комментария</w:t>
            </w:r>
          </w:p>
        </w:tc>
      </w:tr>
      <w:tr w14:paraId="3F21611D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8" w:type="pct"/>
            <w:vMerge w:val="continue"/>
          </w:tcPr>
          <w:p w14:paraId="7EC40729">
            <w:pPr>
              <w:rPr>
                <w:bCs/>
                <w:szCs w:val="20"/>
              </w:rPr>
            </w:pPr>
          </w:p>
        </w:tc>
        <w:tc>
          <w:tcPr>
            <w:tcW w:w="3881" w:type="pct"/>
          </w:tcPr>
          <w:p w14:paraId="5C1BF905">
            <w:pPr>
              <w:pStyle w:val="60"/>
              <w:jc w:val="both"/>
              <w:rPr>
                <w:rFonts w:ascii="Times New Roman" w:hAnsi="Times New Roman" w:eastAsia="SimSun" w:cs="Times New Roman"/>
                <w:color w:val="auto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  <w:lang w:eastAsia="zh-CN" w:bidi="ar"/>
              </w:rPr>
              <w:t>Нормы русского литературного и/или национального языка</w:t>
            </w:r>
          </w:p>
        </w:tc>
      </w:tr>
      <w:tr w14:paraId="54E5E45F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8" w:type="pct"/>
            <w:vMerge w:val="continue"/>
          </w:tcPr>
          <w:p w14:paraId="3CEB05AF">
            <w:pPr>
              <w:rPr>
                <w:bCs/>
                <w:szCs w:val="20"/>
              </w:rPr>
            </w:pPr>
          </w:p>
        </w:tc>
        <w:tc>
          <w:tcPr>
            <w:tcW w:w="3881" w:type="pct"/>
          </w:tcPr>
          <w:p w14:paraId="1F45D415">
            <w:pPr>
              <w:pStyle w:val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  <w:t>Основы информационных технологий в профессиональной деятельности</w:t>
            </w:r>
          </w:p>
        </w:tc>
      </w:tr>
      <w:tr w14:paraId="549308CB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118" w:type="pct"/>
            <w:vMerge w:val="continue"/>
          </w:tcPr>
          <w:p w14:paraId="1B8902E0">
            <w:pPr>
              <w:rPr>
                <w:bCs/>
                <w:szCs w:val="20"/>
              </w:rPr>
            </w:pPr>
          </w:p>
        </w:tc>
        <w:tc>
          <w:tcPr>
            <w:tcW w:w="3881" w:type="pct"/>
          </w:tcPr>
          <w:p w14:paraId="795F3577">
            <w:pPr>
              <w:pStyle w:val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Golos Text" w:cs="Times New Roman"/>
                <w:color w:val="auto"/>
                <w:sz w:val="24"/>
                <w:szCs w:val="24"/>
                <w:shd w:val="clear" w:color="auto" w:fill="FFFFFF"/>
              </w:rPr>
              <w:t xml:space="preserve">Правила межличностного общения, этики делового общения и межкультурной коммуникации, особенности общения с </w:t>
            </w:r>
            <w:r>
              <w:rPr>
                <w:rFonts w:ascii="Times New Roman" w:hAnsi="Times New Roman" w:eastAsia="Golos Text" w:cs="Times New Roman"/>
                <w:color w:val="auto"/>
                <w:sz w:val="24"/>
                <w:szCs w:val="24"/>
                <w:shd w:val="clear" w:color="auto" w:fill="FFFFFF"/>
                <w:lang w:eastAsia="zh-CN"/>
              </w:rPr>
              <w:t>лицами с одновременным нарушением зрения и слуха (слепоглухими)</w:t>
            </w:r>
          </w:p>
        </w:tc>
      </w:tr>
      <w:tr w14:paraId="2E15C8C2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8" w:type="pct"/>
            <w:vMerge w:val="continue"/>
          </w:tcPr>
          <w:p w14:paraId="27C5499C">
            <w:pPr>
              <w:rPr>
                <w:bCs/>
                <w:szCs w:val="20"/>
              </w:rPr>
            </w:pPr>
          </w:p>
        </w:tc>
        <w:tc>
          <w:tcPr>
            <w:tcW w:w="3881" w:type="pct"/>
            <w:vAlign w:val="center"/>
          </w:tcPr>
          <w:p w14:paraId="56A5B4CC">
            <w:pPr>
              <w:pStyle w:val="60"/>
              <w:jc w:val="both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Виды, структура и содержание документов, необходимых для оказания услуги тифлосурдокоментирования, тифлосурдосопровождения</w:t>
            </w:r>
          </w:p>
        </w:tc>
      </w:tr>
      <w:tr w14:paraId="53BB0FE1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8" w:type="pct"/>
          </w:tcPr>
          <w:p w14:paraId="14C37B5E">
            <w:pPr>
              <w:widowControl w:val="0"/>
              <w:rPr>
                <w:bCs/>
                <w:szCs w:val="20"/>
              </w:rPr>
            </w:pPr>
            <w:r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81" w:type="pct"/>
          </w:tcPr>
          <w:p w14:paraId="2A60842A">
            <w:pPr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</w:tbl>
    <w:p w14:paraId="2330F54A">
      <w:pPr>
        <w:ind w:firstLine="709"/>
      </w:pPr>
    </w:p>
    <w:p w14:paraId="7014D5F3">
      <w:pPr>
        <w:pStyle w:val="3"/>
      </w:pPr>
      <w:r>
        <w:t>3.2. Обобщенная трудовая функция</w:t>
      </w:r>
    </w:p>
    <w:p w14:paraId="6A60B825"/>
    <w:tbl>
      <w:tblPr>
        <w:tblStyle w:val="12"/>
        <w:tblW w:w="4951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5"/>
        <w:gridCol w:w="4582"/>
        <w:gridCol w:w="714"/>
        <w:gridCol w:w="749"/>
        <w:gridCol w:w="1581"/>
        <w:gridCol w:w="1189"/>
      </w:tblGrid>
      <w:tr w14:paraId="38772D5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29" w:type="pct"/>
            <w:tcBorders>
              <w:top w:val="nil"/>
              <w:bottom w:val="nil"/>
              <w:right w:val="single" w:color="7F7F7F" w:themeColor="background1" w:themeShade="80" w:sz="4" w:space="0"/>
            </w:tcBorders>
            <w:vAlign w:val="center"/>
          </w:tcPr>
          <w:p w14:paraId="1B8560CD">
            <w:pPr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20" w:type="pct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</w:tcPr>
          <w:p w14:paraId="66DF4787">
            <w:pPr>
              <w:rPr>
                <w:szCs w:val="24"/>
              </w:rPr>
            </w:pPr>
            <w:r>
              <w:t>Ведение профессионально ориентированного тифлосурдоперевода для лиц с одновременными нарушениями зрения и слуха</w:t>
            </w:r>
          </w:p>
        </w:tc>
        <w:tc>
          <w:tcPr>
            <w:tcW w:w="346" w:type="pct"/>
            <w:tcBorders>
              <w:top w:val="nil"/>
              <w:left w:val="single" w:color="7F7F7F" w:themeColor="background1" w:themeShade="80" w:sz="4" w:space="0"/>
              <w:bottom w:val="nil"/>
              <w:right w:val="single" w:color="7F7F7F" w:themeColor="background1" w:themeShade="80" w:sz="4" w:space="0"/>
            </w:tcBorders>
            <w:vAlign w:val="center"/>
          </w:tcPr>
          <w:p w14:paraId="1EC7E295">
            <w:pPr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>Код</w:t>
            </w:r>
          </w:p>
        </w:tc>
        <w:tc>
          <w:tcPr>
            <w:tcW w:w="363" w:type="pct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  <w:vAlign w:val="center"/>
          </w:tcPr>
          <w:p w14:paraId="754C2E1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</w:t>
            </w:r>
          </w:p>
        </w:tc>
        <w:tc>
          <w:tcPr>
            <w:tcW w:w="766" w:type="pct"/>
            <w:tcBorders>
              <w:top w:val="nil"/>
              <w:left w:val="single" w:color="7F7F7F" w:themeColor="background1" w:themeShade="80" w:sz="4" w:space="0"/>
              <w:bottom w:val="nil"/>
              <w:right w:val="single" w:color="7F7F7F" w:themeColor="background1" w:themeShade="80" w:sz="4" w:space="0"/>
            </w:tcBorders>
            <w:vAlign w:val="center"/>
          </w:tcPr>
          <w:p w14:paraId="06921363">
            <w:pPr>
              <w:jc w:val="center"/>
              <w:rPr>
                <w:sz w:val="18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576" w:type="pct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  <w:vAlign w:val="center"/>
          </w:tcPr>
          <w:p w14:paraId="2CFE726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</w:tbl>
    <w:p w14:paraId="4F1403C1"/>
    <w:tbl>
      <w:tblPr>
        <w:tblStyle w:val="12"/>
        <w:tblW w:w="4954" w:type="pct"/>
        <w:tblInd w:w="-5" w:type="dxa"/>
        <w:tblBorders>
          <w:top w:val="single" w:color="808080" w:sz="4" w:space="0"/>
          <w:left w:val="none" w:color="auto" w:sz="0" w:space="0"/>
          <w:bottom w:val="single" w:color="808080" w:sz="4" w:space="0"/>
          <w:right w:val="none" w:color="auto" w:sz="0" w:space="0"/>
          <w:insideH w:val="single" w:color="808080" w:sz="4" w:space="0"/>
          <w:insideV w:val="single" w:color="80808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0"/>
        <w:gridCol w:w="8006"/>
      </w:tblGrid>
      <w:tr w14:paraId="42D8574C">
        <w:tblPrEx>
          <w:tblBorders>
            <w:top w:val="single" w:color="808080" w:sz="4" w:space="0"/>
            <w:left w:val="none" w:color="auto" w:sz="0" w:space="0"/>
            <w:bottom w:val="single" w:color="808080" w:sz="4" w:space="0"/>
            <w:right w:val="none" w:color="auto" w:sz="0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123" w:type="pct"/>
            <w:tcBorders>
              <w:left w:val="single" w:color="808080" w:sz="4" w:space="0"/>
            </w:tcBorders>
            <w:vAlign w:val="center"/>
          </w:tcPr>
          <w:p w14:paraId="4DE0DB14">
            <w:pPr>
              <w:rPr>
                <w:szCs w:val="20"/>
              </w:rPr>
            </w:pPr>
            <w:r>
              <w:rPr>
                <w:szCs w:val="20"/>
              </w:rPr>
              <w:t>Возможные наименования должностей, профессий рабочих</w:t>
            </w:r>
          </w:p>
        </w:tc>
        <w:tc>
          <w:tcPr>
            <w:tcW w:w="3877" w:type="pct"/>
            <w:tcBorders>
              <w:right w:val="single" w:color="808080" w:sz="4" w:space="0"/>
            </w:tcBorders>
          </w:tcPr>
          <w:p w14:paraId="2026DC6B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Тифлосурдопереводчик </w:t>
            </w:r>
            <w:r>
              <w:rPr>
                <w:color w:val="auto"/>
                <w:szCs w:val="24"/>
                <w:lang w:val="en-US"/>
              </w:rPr>
              <w:t>II</w:t>
            </w:r>
            <w:r>
              <w:rPr>
                <w:color w:val="auto"/>
                <w:szCs w:val="24"/>
              </w:rPr>
              <w:t xml:space="preserve"> категории</w:t>
            </w:r>
          </w:p>
          <w:p w14:paraId="372BE4A2">
            <w:pPr>
              <w:rPr>
                <w:szCs w:val="24"/>
              </w:rPr>
            </w:pPr>
            <w:r>
              <w:rPr>
                <w:szCs w:val="24"/>
              </w:rPr>
              <w:t xml:space="preserve">Тифлосурдопереводчик </w:t>
            </w:r>
            <w:r>
              <w:rPr>
                <w:szCs w:val="24"/>
                <w:lang w:val="en-US"/>
              </w:rPr>
              <w:t>I</w:t>
            </w:r>
            <w:r>
              <w:rPr>
                <w:szCs w:val="24"/>
              </w:rPr>
              <w:t xml:space="preserve"> категории</w:t>
            </w:r>
          </w:p>
          <w:p w14:paraId="7F5912A2">
            <w:r>
              <w:t>Тифлосурдопереводчик высшей категории</w:t>
            </w:r>
          </w:p>
        </w:tc>
      </w:tr>
    </w:tbl>
    <w:p w14:paraId="0099D5AE">
      <w:pPr>
        <w:rPr>
          <w:szCs w:val="20"/>
        </w:rPr>
      </w:pPr>
    </w:p>
    <w:p w14:paraId="28A72A3C">
      <w:pPr>
        <w:rPr>
          <w:bCs/>
          <w:szCs w:val="20"/>
        </w:rPr>
      </w:pPr>
      <w:r>
        <w:rPr>
          <w:bCs/>
          <w:szCs w:val="20"/>
        </w:rPr>
        <w:t>Пути достижения квалификации</w:t>
      </w:r>
    </w:p>
    <w:p w14:paraId="300C1837">
      <w:pPr>
        <w:rPr>
          <w:bCs/>
          <w:szCs w:val="20"/>
        </w:rPr>
      </w:pPr>
    </w:p>
    <w:tbl>
      <w:tblPr>
        <w:tblStyle w:val="12"/>
        <w:tblW w:w="4949" w:type="pct"/>
        <w:tblInd w:w="0" w:type="dxa"/>
        <w:tblBorders>
          <w:top w:val="single" w:color="808080" w:sz="4" w:space="0"/>
          <w:left w:val="none" w:color="auto" w:sz="0" w:space="0"/>
          <w:bottom w:val="single" w:color="808080" w:sz="4" w:space="0"/>
          <w:right w:val="none" w:color="auto" w:sz="0" w:space="0"/>
          <w:insideH w:val="single" w:color="808080" w:sz="4" w:space="0"/>
          <w:insideV w:val="single" w:color="80808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2"/>
        <w:gridCol w:w="8004"/>
      </w:tblGrid>
      <w:tr w14:paraId="15A327E3">
        <w:tblPrEx>
          <w:tblBorders>
            <w:top w:val="single" w:color="808080" w:sz="4" w:space="0"/>
            <w:left w:val="none" w:color="auto" w:sz="0" w:space="0"/>
            <w:bottom w:val="single" w:color="808080" w:sz="4" w:space="0"/>
            <w:right w:val="none" w:color="auto" w:sz="0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121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09C1D8">
            <w:pPr>
              <w:rPr>
                <w:szCs w:val="20"/>
              </w:rPr>
            </w:pPr>
            <w:r>
              <w:rPr>
                <w:szCs w:val="20"/>
              </w:rPr>
              <w:t>Образование и обучение</w:t>
            </w:r>
          </w:p>
        </w:tc>
        <w:tc>
          <w:tcPr>
            <w:tcW w:w="3879" w:type="pct"/>
            <w:tcBorders>
              <w:left w:val="single" w:color="auto" w:sz="4" w:space="0"/>
              <w:right w:val="single" w:color="808080" w:sz="4" w:space="0"/>
            </w:tcBorders>
            <w:vAlign w:val="center"/>
          </w:tcPr>
          <w:p w14:paraId="205E6515">
            <w:pPr>
              <w:pStyle w:val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профессиональное образование - бакалавриат и дополнительное профессиональное образование - программы повышения квалификации в области сурдокоммуникации </w:t>
            </w:r>
          </w:p>
          <w:p w14:paraId="60589E1C">
            <w:pPr>
              <w:pStyle w:val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</w:p>
          <w:p w14:paraId="42B67CF3">
            <w:pPr>
              <w:pStyle w:val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образование - бакалавриат (непрофильное) и дополнительное профессиональное образование – программы профессиональной переподготовки по профилю (направлению) профессиональной деятельности</w:t>
            </w:r>
          </w:p>
          <w:p w14:paraId="6DE45BE1">
            <w:pPr>
              <w:pStyle w:val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6CA5AC44">
            <w:pPr>
              <w:pStyle w:val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образование - программы подготовки специалистов среднего звена и дополнительное профессиональное образование по программе повышения квалификации в области сурдокоммуникации </w:t>
            </w:r>
          </w:p>
          <w:p w14:paraId="2ACE8B57">
            <w:pPr>
              <w:pStyle w:val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50C44BF7">
            <w:pPr>
              <w:pStyle w:val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Среднее профессиональное образование (непрофильное) — программы подготовки специалистов среднего звена и дополнительное профессиональное образование - программы профессиональной переподготовки по профилю (направлению) профессиональной деятельности</w:t>
            </w:r>
          </w:p>
        </w:tc>
      </w:tr>
      <w:tr w14:paraId="5FE8F6E9">
        <w:tblPrEx>
          <w:tblBorders>
            <w:top w:val="single" w:color="808080" w:sz="4" w:space="0"/>
            <w:left w:val="none" w:color="auto" w:sz="0" w:space="0"/>
            <w:bottom w:val="single" w:color="808080" w:sz="4" w:space="0"/>
            <w:right w:val="none" w:color="auto" w:sz="0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121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3DEB2F">
            <w:pPr>
              <w:rPr>
                <w:szCs w:val="20"/>
              </w:rPr>
            </w:pPr>
            <w:r>
              <w:rPr>
                <w:szCs w:val="20"/>
              </w:rPr>
              <w:t>Опыт практической работы</w:t>
            </w:r>
          </w:p>
        </w:tc>
        <w:tc>
          <w:tcPr>
            <w:tcW w:w="3879" w:type="pct"/>
            <w:tcBorders>
              <w:left w:val="single" w:color="auto" w:sz="4" w:space="0"/>
              <w:right w:val="single" w:color="808080" w:sz="4" w:space="0"/>
            </w:tcBorders>
            <w:vAlign w:val="center"/>
          </w:tcPr>
          <w:p w14:paraId="75743AFE">
            <w:pPr>
              <w:pStyle w:val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 менее 6 месяцев опыта работы в должности тифлосурдопереводчика II категории (при высшем образовании) </w:t>
            </w:r>
          </w:p>
          <w:p w14:paraId="07082913">
            <w:pPr>
              <w:pStyle w:val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</w:p>
          <w:p w14:paraId="5F1C68AF">
            <w:pPr>
              <w:rPr>
                <w:szCs w:val="24"/>
              </w:rPr>
            </w:pPr>
            <w:r>
              <w:rPr>
                <w:szCs w:val="24"/>
              </w:rPr>
              <w:t>Не менее 1 года опыта работы  в должности тифлосурдопереводчика II категории (при среднем профессиональном образовании)</w:t>
            </w:r>
          </w:p>
        </w:tc>
      </w:tr>
    </w:tbl>
    <w:p w14:paraId="075533B9">
      <w:pPr>
        <w:tabs>
          <w:tab w:val="left" w:pos="2484"/>
        </w:tabs>
        <w:rPr>
          <w:szCs w:val="24"/>
        </w:rPr>
      </w:pPr>
    </w:p>
    <w:tbl>
      <w:tblPr>
        <w:tblStyle w:val="12"/>
        <w:tblW w:w="4949" w:type="pct"/>
        <w:tblInd w:w="0" w:type="dxa"/>
        <w:tblBorders>
          <w:top w:val="single" w:color="808080" w:sz="4" w:space="0"/>
          <w:left w:val="none" w:color="auto" w:sz="0" w:space="0"/>
          <w:bottom w:val="single" w:color="808080" w:sz="4" w:space="0"/>
          <w:right w:val="none" w:color="auto" w:sz="0" w:space="0"/>
          <w:insideH w:val="single" w:color="808080" w:sz="4" w:space="0"/>
          <w:insideV w:val="single" w:color="80808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2"/>
        <w:gridCol w:w="8004"/>
      </w:tblGrid>
      <w:tr w14:paraId="308BD6A9">
        <w:tblPrEx>
          <w:tblBorders>
            <w:top w:val="single" w:color="808080" w:sz="4" w:space="0"/>
            <w:left w:val="none" w:color="auto" w:sz="0" w:space="0"/>
            <w:bottom w:val="single" w:color="808080" w:sz="4" w:space="0"/>
            <w:right w:val="none" w:color="auto" w:sz="0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121" w:type="pct"/>
            <w:tcBorders>
              <w:left w:val="single" w:color="808080" w:sz="4" w:space="0"/>
            </w:tcBorders>
            <w:vAlign w:val="center"/>
          </w:tcPr>
          <w:p w14:paraId="6AADE2F9">
            <w:pPr>
              <w:rPr>
                <w:szCs w:val="20"/>
              </w:rPr>
            </w:pPr>
            <w:r>
              <w:rPr>
                <w:szCs w:val="20"/>
              </w:rPr>
              <w:t xml:space="preserve">Особые условия допуска к работе </w:t>
            </w:r>
          </w:p>
        </w:tc>
        <w:tc>
          <w:tcPr>
            <w:tcW w:w="3879" w:type="pct"/>
            <w:tcBorders>
              <w:right w:val="single" w:color="808080" w:sz="4" w:space="0"/>
            </w:tcBorders>
            <w:vAlign w:val="center"/>
          </w:tcPr>
          <w:p w14:paraId="2BE94F16">
            <w:pPr>
              <w:rPr>
                <w:szCs w:val="24"/>
              </w:rPr>
            </w:pPr>
            <w:r>
              <w:rPr>
                <w:szCs w:val="24"/>
              </w:rPr>
              <w:t>Обучение по охране труда и проверка знания требований охраны труда</w:t>
            </w:r>
          </w:p>
        </w:tc>
      </w:tr>
      <w:tr w14:paraId="5E38C9E1">
        <w:tblPrEx>
          <w:tblBorders>
            <w:top w:val="single" w:color="808080" w:sz="4" w:space="0"/>
            <w:left w:val="none" w:color="auto" w:sz="0" w:space="0"/>
            <w:bottom w:val="single" w:color="808080" w:sz="4" w:space="0"/>
            <w:right w:val="none" w:color="auto" w:sz="0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121" w:type="pct"/>
            <w:tcBorders>
              <w:left w:val="single" w:color="808080" w:sz="4" w:space="0"/>
            </w:tcBorders>
            <w:vAlign w:val="center"/>
          </w:tcPr>
          <w:p w14:paraId="7FB6D8CC">
            <w:pPr>
              <w:rPr>
                <w:szCs w:val="20"/>
              </w:rPr>
            </w:pPr>
            <w:r>
              <w:rPr>
                <w:szCs w:val="20"/>
              </w:rPr>
              <w:t>Другие характеристики</w:t>
            </w:r>
          </w:p>
        </w:tc>
        <w:tc>
          <w:tcPr>
            <w:tcW w:w="3879" w:type="pct"/>
            <w:tcBorders>
              <w:right w:val="single" w:color="808080" w:sz="4" w:space="0"/>
            </w:tcBorders>
            <w:vAlign w:val="center"/>
          </w:tcPr>
          <w:p w14:paraId="24A80E49">
            <w:pPr>
              <w:rPr>
                <w:szCs w:val="24"/>
              </w:rPr>
            </w:pPr>
            <w:r>
              <w:t>Рекомендуется дополнительное профессиональное образование по программам повышения квалификации в соответствии с видом профессиональной деятельности не реже 1 раза в 3 года.</w:t>
            </w:r>
          </w:p>
        </w:tc>
      </w:tr>
    </w:tbl>
    <w:p w14:paraId="43A5A1E4"/>
    <w:p w14:paraId="444089E9">
      <w:pPr>
        <w:rPr>
          <w:bCs/>
        </w:rPr>
      </w:pPr>
      <w:r>
        <w:rPr>
          <w:bCs/>
        </w:rPr>
        <w:t>Справочная информация</w:t>
      </w:r>
    </w:p>
    <w:p w14:paraId="7AF78090"/>
    <w:tbl>
      <w:tblPr>
        <w:tblStyle w:val="12"/>
        <w:tblW w:w="4949" w:type="pct"/>
        <w:tblInd w:w="0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0"/>
        <w:gridCol w:w="1304"/>
        <w:gridCol w:w="6702"/>
      </w:tblGrid>
      <w:tr w14:paraId="03BEBDEB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20" w:type="pct"/>
            <w:vAlign w:val="center"/>
          </w:tcPr>
          <w:p w14:paraId="040C1B1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документа</w:t>
            </w:r>
          </w:p>
        </w:tc>
        <w:tc>
          <w:tcPr>
            <w:tcW w:w="632" w:type="pct"/>
            <w:vAlign w:val="center"/>
          </w:tcPr>
          <w:p w14:paraId="5F78D25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Код</w:t>
            </w:r>
          </w:p>
        </w:tc>
        <w:tc>
          <w:tcPr>
            <w:tcW w:w="3247" w:type="pct"/>
            <w:vAlign w:val="center"/>
          </w:tcPr>
          <w:p w14:paraId="392962C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14:paraId="17BAC9A0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0" w:type="pct"/>
          </w:tcPr>
          <w:p w14:paraId="47888323">
            <w:pPr>
              <w:rPr>
                <w:szCs w:val="24"/>
              </w:rPr>
            </w:pPr>
            <w:r>
              <w:rPr>
                <w:szCs w:val="24"/>
              </w:rPr>
              <w:t>ОКЗ</w:t>
            </w:r>
          </w:p>
        </w:tc>
        <w:tc>
          <w:tcPr>
            <w:tcW w:w="632" w:type="pct"/>
          </w:tcPr>
          <w:p w14:paraId="5B1BBA58">
            <w:pPr>
              <w:jc w:val="center"/>
            </w:pPr>
            <w:r>
              <w:fldChar w:fldCharType="begin"/>
            </w:r>
            <w:r>
              <w:instrText xml:space="preserve"> HYPERLINK "consultantplus://offline/ref=645A54A714646AE6C7D5C231A09DE92FCD4A2B786088D7BEB95825A4042F2C5F4A64A293A20545A8802ED82655A7B2F6963D91D72E9FE99DM9Z2O" \h </w:instrText>
            </w:r>
            <w:r>
              <w:fldChar w:fldCharType="separate"/>
            </w:r>
            <w:r>
              <w:t>2643</w:t>
            </w:r>
            <w:r>
              <w:fldChar w:fldCharType="end"/>
            </w:r>
          </w:p>
        </w:tc>
        <w:tc>
          <w:tcPr>
            <w:tcW w:w="3247" w:type="pct"/>
          </w:tcPr>
          <w:p w14:paraId="51C899A2">
            <w:r>
              <w:t>Переводчики и другие лингвисты</w:t>
            </w:r>
          </w:p>
        </w:tc>
      </w:tr>
      <w:tr w14:paraId="289F833A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0" w:type="pct"/>
          </w:tcPr>
          <w:p w14:paraId="73D5B692">
            <w:pPr>
              <w:rPr>
                <w:szCs w:val="24"/>
              </w:rPr>
            </w:pPr>
            <w:r>
              <w:rPr>
                <w:szCs w:val="24"/>
              </w:rPr>
              <w:t>ЕКС</w:t>
            </w:r>
          </w:p>
        </w:tc>
        <w:tc>
          <w:tcPr>
            <w:tcW w:w="632" w:type="pct"/>
          </w:tcPr>
          <w:p w14:paraId="68C9E8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3247" w:type="pct"/>
          </w:tcPr>
          <w:p w14:paraId="24F36612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14:paraId="163A69DF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0" w:type="pct"/>
          </w:tcPr>
          <w:p w14:paraId="0A7A14E0">
            <w:pPr>
              <w:rPr>
                <w:szCs w:val="24"/>
              </w:rPr>
            </w:pPr>
            <w:r>
              <w:rPr>
                <w:szCs w:val="24"/>
              </w:rPr>
              <w:t>ОКПДТР</w:t>
            </w:r>
          </w:p>
        </w:tc>
        <w:tc>
          <w:tcPr>
            <w:tcW w:w="632" w:type="pct"/>
            <w:shd w:val="clear" w:color="DDEBF7" w:fill="auto"/>
            <w:vAlign w:val="center"/>
          </w:tcPr>
          <w:p w14:paraId="087F8FD3">
            <w:pPr>
              <w:jc w:val="center"/>
              <w:textAlignment w:val="top"/>
              <w:rPr>
                <w:rFonts w:eastAsia="SimSun"/>
                <w:szCs w:val="24"/>
                <w:lang w:eastAsia="zh-CN" w:bidi="ar"/>
              </w:rPr>
            </w:pPr>
            <w:r>
              <w:rPr>
                <w:rFonts w:eastAsia="SimSun"/>
                <w:szCs w:val="24"/>
                <w:lang w:val="en-US" w:eastAsia="zh-CN" w:bidi="ar"/>
              </w:rPr>
              <w:t>2</w:t>
            </w:r>
            <w:r>
              <w:rPr>
                <w:rFonts w:eastAsia="SimSun"/>
                <w:szCs w:val="24"/>
                <w:lang w:eastAsia="zh-CN" w:bidi="ar"/>
              </w:rPr>
              <w:t>04060</w:t>
            </w:r>
          </w:p>
        </w:tc>
        <w:tc>
          <w:tcPr>
            <w:tcW w:w="3247" w:type="pct"/>
          </w:tcPr>
          <w:p w14:paraId="20BD38D8">
            <w:pPr>
              <w:textAlignment w:val="top"/>
              <w:rPr>
                <w:rFonts w:eastAsia="SimSun"/>
                <w:szCs w:val="24"/>
                <w:lang w:eastAsia="zh-CN" w:bidi="ar"/>
              </w:rPr>
            </w:pPr>
            <w:r>
              <w:rPr>
                <w:rFonts w:eastAsia="SimSun"/>
                <w:szCs w:val="24"/>
                <w:lang w:eastAsia="zh-CN" w:bidi="ar"/>
              </w:rPr>
              <w:t>Тифлосурдопереводчик</w:t>
            </w:r>
          </w:p>
        </w:tc>
      </w:tr>
      <w:tr w14:paraId="274453E7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0" w:type="pct"/>
          </w:tcPr>
          <w:p w14:paraId="59FC5AB7">
            <w:pPr>
              <w:rPr>
                <w:szCs w:val="24"/>
              </w:rPr>
            </w:pPr>
            <w:r>
              <w:rPr>
                <w:szCs w:val="24"/>
              </w:rPr>
              <w:t>Перечни ВО</w:t>
            </w:r>
            <w:r>
              <w:rPr>
                <w:szCs w:val="24"/>
                <w:vertAlign w:val="superscript"/>
              </w:rPr>
              <w:t>,</w:t>
            </w:r>
            <w:r>
              <w:rPr>
                <w:rStyle w:val="15"/>
                <w:szCs w:val="24"/>
              </w:rPr>
              <w:endnoteReference w:id="7"/>
            </w:r>
          </w:p>
        </w:tc>
        <w:tc>
          <w:tcPr>
            <w:tcW w:w="632" w:type="pct"/>
          </w:tcPr>
          <w:p w14:paraId="4130FB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44.03.03</w:t>
            </w:r>
          </w:p>
        </w:tc>
        <w:tc>
          <w:tcPr>
            <w:tcW w:w="3247" w:type="pct"/>
          </w:tcPr>
          <w:p w14:paraId="0F400D21">
            <w:pPr>
              <w:rPr>
                <w:szCs w:val="24"/>
              </w:rPr>
            </w:pPr>
            <w:r>
              <w:rPr>
                <w:szCs w:val="24"/>
                <w:shd w:val="clear" w:color="auto" w:fill="FFFFFF"/>
              </w:rPr>
              <w:t>Специальное (дефектологическое) образование</w:t>
            </w:r>
          </w:p>
        </w:tc>
      </w:tr>
    </w:tbl>
    <w:p w14:paraId="03537F24"/>
    <w:p w14:paraId="354140BA">
      <w:r>
        <w:rPr>
          <w:b/>
          <w:szCs w:val="20"/>
        </w:rPr>
        <w:t>3.2.1. Трудовая функция</w:t>
      </w:r>
    </w:p>
    <w:p w14:paraId="235CDF57"/>
    <w:tbl>
      <w:tblPr>
        <w:tblStyle w:val="12"/>
        <w:tblW w:w="4944" w:type="pct"/>
        <w:tblInd w:w="5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8"/>
        <w:gridCol w:w="4577"/>
        <w:gridCol w:w="612"/>
        <w:gridCol w:w="1014"/>
        <w:gridCol w:w="1686"/>
        <w:gridCol w:w="898"/>
      </w:tblGrid>
      <w:tr w14:paraId="0AE7B8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35" w:type="pct"/>
            <w:tcBorders>
              <w:top w:val="nil"/>
              <w:bottom w:val="nil"/>
              <w:right w:val="single" w:color="808080" w:sz="4" w:space="0"/>
            </w:tcBorders>
            <w:shd w:val="clear" w:color="auto" w:fill="F1F1F1" w:themeFill="background1" w:themeFillShade="F2"/>
            <w:vAlign w:val="center"/>
          </w:tcPr>
          <w:p w14:paraId="3CF0C6D3">
            <w:pPr>
              <w:rPr>
                <w:strike/>
                <w:sz w:val="18"/>
                <w:szCs w:val="16"/>
              </w:rPr>
            </w:pPr>
            <w:r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1F1F1" w:themeFill="background1" w:themeFillShade="F2"/>
          </w:tcPr>
          <w:p w14:paraId="7C086BA8">
            <w:pPr>
              <w:rPr>
                <w:strike/>
                <w:szCs w:val="24"/>
              </w:rPr>
            </w:pPr>
            <w:r>
              <w:rPr>
                <w:szCs w:val="24"/>
              </w:rPr>
              <w:t>Ведение тифлосурдоперевода (сопроводительного и последовательного)  с использованием различных специализированных систем</w:t>
            </w:r>
          </w:p>
        </w:tc>
        <w:tc>
          <w:tcPr>
            <w:tcW w:w="297" w:type="pct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shd w:val="clear" w:color="auto" w:fill="F1F1F1" w:themeFill="background1" w:themeFillShade="F2"/>
            <w:vAlign w:val="center"/>
          </w:tcPr>
          <w:p w14:paraId="6A171885">
            <w:pPr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>Код</w:t>
            </w:r>
          </w:p>
        </w:tc>
        <w:tc>
          <w:tcPr>
            <w:tcW w:w="492" w:type="pct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1F1F1" w:themeFill="background1" w:themeFillShade="F2"/>
            <w:vAlign w:val="center"/>
          </w:tcPr>
          <w:p w14:paraId="1314965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В/01.6</w:t>
            </w:r>
          </w:p>
        </w:tc>
        <w:tc>
          <w:tcPr>
            <w:tcW w:w="817" w:type="pct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shd w:val="clear" w:color="auto" w:fill="F1F1F1" w:themeFill="background1" w:themeFillShade="F2"/>
            <w:vAlign w:val="center"/>
          </w:tcPr>
          <w:p w14:paraId="17D829ED">
            <w:pPr>
              <w:jc w:val="center"/>
              <w:rPr>
                <w:sz w:val="18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36" w:type="pct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center"/>
          </w:tcPr>
          <w:p w14:paraId="5ACD23EA">
            <w:pPr>
              <w:jc w:val="center"/>
              <w:rPr>
                <w:strike/>
                <w:szCs w:val="24"/>
              </w:rPr>
            </w:pPr>
            <w:r>
              <w:rPr>
                <w:strike/>
                <w:szCs w:val="24"/>
              </w:rPr>
              <w:t>6</w:t>
            </w:r>
          </w:p>
        </w:tc>
      </w:tr>
    </w:tbl>
    <w:p w14:paraId="769A0C93">
      <w:pPr>
        <w:rPr>
          <w:strike/>
        </w:rPr>
      </w:pPr>
    </w:p>
    <w:tbl>
      <w:tblPr>
        <w:tblStyle w:val="12"/>
        <w:tblW w:w="4948" w:type="pct"/>
        <w:tblInd w:w="2" w:type="dxa"/>
        <w:tblBorders>
          <w:top w:val="single" w:color="7F7F7F" w:sz="2" w:space="0"/>
          <w:left w:val="single" w:color="7F7F7F" w:sz="2" w:space="0"/>
          <w:bottom w:val="single" w:color="7F7F7F" w:sz="2" w:space="0"/>
          <w:right w:val="single" w:color="7F7F7F" w:sz="2" w:space="0"/>
          <w:insideH w:val="single" w:color="7F7F7F" w:sz="2" w:space="0"/>
          <w:insideV w:val="single" w:color="7F7F7F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8"/>
        <w:gridCol w:w="8006"/>
      </w:tblGrid>
      <w:tr w14:paraId="0450B9AC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restart"/>
          </w:tcPr>
          <w:p w14:paraId="0EE15658">
            <w:pPr>
              <w:rPr>
                <w:szCs w:val="20"/>
              </w:rPr>
            </w:pPr>
            <w:r>
              <w:rPr>
                <w:szCs w:val="20"/>
              </w:rPr>
              <w:t>Трудовые действия</w:t>
            </w:r>
          </w:p>
        </w:tc>
        <w:tc>
          <w:tcPr>
            <w:tcW w:w="3880" w:type="pct"/>
          </w:tcPr>
          <w:p w14:paraId="75BA3A05">
            <w:pPr>
              <w:pStyle w:val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ans-serif" w:cs="Times New Roman"/>
                <w:color w:val="auto"/>
                <w:sz w:val="24"/>
                <w:szCs w:val="24"/>
                <w:shd w:val="clear" w:color="auto" w:fill="FFFFFF"/>
                <w:lang w:eastAsia="zh-CN" w:bidi="ar"/>
              </w:rPr>
              <w:t>Осуществление</w:t>
            </w:r>
            <w:r>
              <w:rPr>
                <w:rFonts w:hint="default" w:ascii="Times New Roman" w:hAnsi="Times New Roman" w:eastAsia="sans-serif" w:cs="Times New Roman"/>
                <w:color w:val="auto"/>
                <w:sz w:val="24"/>
                <w:szCs w:val="24"/>
                <w:shd w:val="clear" w:color="auto" w:fill="FFFFFF"/>
                <w:lang w:val="ru-RU" w:eastAsia="zh-CN" w:bidi="ar"/>
              </w:rPr>
              <w:t xml:space="preserve"> </w:t>
            </w:r>
            <w:r>
              <w:rPr>
                <w:rFonts w:ascii="Times New Roman" w:hAnsi="Times New Roman" w:eastAsia="sans-serif" w:cs="Times New Roman"/>
                <w:color w:val="auto"/>
                <w:sz w:val="24"/>
                <w:szCs w:val="24"/>
                <w:shd w:val="clear" w:color="auto" w:fill="FFFFFF"/>
                <w:lang w:eastAsia="zh-CN" w:bidi="ar"/>
              </w:rPr>
              <w:t>прямого/обратного</w:t>
            </w:r>
            <w:r>
              <w:rPr>
                <w:rFonts w:hint="default" w:ascii="Times New Roman" w:hAnsi="Times New Roman" w:eastAsia="sans-serif" w:cs="Times New Roman"/>
                <w:color w:val="auto"/>
                <w:sz w:val="24"/>
                <w:szCs w:val="24"/>
                <w:shd w:val="clear" w:color="auto" w:fill="FFFFFF"/>
                <w:lang w:val="ru-RU" w:eastAsia="zh-CN" w:bidi="ar"/>
              </w:rPr>
              <w:t xml:space="preserve"> </w:t>
            </w:r>
            <w:r>
              <w:rPr>
                <w:rFonts w:ascii="Times New Roman" w:hAnsi="Times New Roman" w:eastAsia="sans-serif" w:cs="Times New Roman"/>
                <w:color w:val="auto"/>
                <w:sz w:val="24"/>
                <w:szCs w:val="24"/>
                <w:shd w:val="clear" w:color="auto" w:fill="FFFFFF"/>
                <w:lang w:eastAsia="zh-CN" w:bidi="ar"/>
              </w:rPr>
              <w:t xml:space="preserve">последовательного  тифлосурдоперевода устной речи  для лиц </w:t>
            </w: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 с одновременным нарушением зрения и слуха (слепоглухих) </w:t>
            </w:r>
            <w:r>
              <w:rPr>
                <w:rFonts w:ascii="Times New Roman" w:hAnsi="Times New Roman" w:eastAsia="sans-serif" w:cs="Times New Roman"/>
                <w:color w:val="auto"/>
                <w:sz w:val="24"/>
                <w:szCs w:val="24"/>
                <w:shd w:val="clear" w:color="auto" w:fill="FFFFFF"/>
                <w:lang w:eastAsia="zh-CN" w:bidi="ar"/>
              </w:rPr>
              <w:t xml:space="preserve">в различных  ситуациях, сферах и процессах </w:t>
            </w:r>
          </w:p>
        </w:tc>
      </w:tr>
      <w:tr w14:paraId="3C96C0FD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15800B5E">
            <w:pPr>
              <w:rPr>
                <w:szCs w:val="20"/>
              </w:rPr>
            </w:pPr>
          </w:p>
        </w:tc>
        <w:tc>
          <w:tcPr>
            <w:tcW w:w="3880" w:type="pct"/>
          </w:tcPr>
          <w:p w14:paraId="22C457E5">
            <w:pPr>
              <w:pStyle w:val="60"/>
              <w:jc w:val="both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Оценка особенностей восприятия у лица с одновременным нарушением зрения и слуха (слепоглухого) или аудитории</w:t>
            </w:r>
          </w:p>
        </w:tc>
      </w:tr>
      <w:tr w14:paraId="03006768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0A00E2FA">
            <w:pPr>
              <w:rPr>
                <w:szCs w:val="20"/>
              </w:rPr>
            </w:pPr>
          </w:p>
        </w:tc>
        <w:tc>
          <w:tcPr>
            <w:tcW w:w="3880" w:type="pct"/>
          </w:tcPr>
          <w:p w14:paraId="78DCA67A">
            <w:pPr>
              <w:pStyle w:val="60"/>
              <w:jc w:val="both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Проведение анализа информационного потока, дифференциации его на смысловые единицы</w:t>
            </w:r>
          </w:p>
        </w:tc>
      </w:tr>
      <w:tr w14:paraId="5DF83B8B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6CDDFD87">
            <w:pPr>
              <w:rPr>
                <w:szCs w:val="20"/>
              </w:rPr>
            </w:pPr>
          </w:p>
        </w:tc>
        <w:tc>
          <w:tcPr>
            <w:tcW w:w="3880" w:type="pct"/>
          </w:tcPr>
          <w:p w14:paraId="29E5E56D">
            <w:pPr>
              <w:pStyle w:val="60"/>
              <w:jc w:val="both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Подбор адекватных смысловых эквивалентных речевых средств жестового языка</w:t>
            </w:r>
          </w:p>
        </w:tc>
      </w:tr>
      <w:tr w14:paraId="1DE9F7F9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5E4AD8A4">
            <w:pPr>
              <w:rPr>
                <w:szCs w:val="20"/>
              </w:rPr>
            </w:pPr>
          </w:p>
        </w:tc>
        <w:tc>
          <w:tcPr>
            <w:tcW w:w="3880" w:type="pct"/>
            <w:shd w:val="clear" w:color="auto" w:fill="auto"/>
          </w:tcPr>
          <w:p w14:paraId="709742D4">
            <w:pPr>
              <w:pStyle w:val="60"/>
              <w:jc w:val="both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Подбор необходимых средств коммуникации с учетом специфики лиц с одновременным нарушением зрения и слуха (слепоглухих)</w:t>
            </w:r>
          </w:p>
        </w:tc>
      </w:tr>
      <w:tr w14:paraId="129F3F95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119" w:type="pct"/>
            <w:vMerge w:val="continue"/>
          </w:tcPr>
          <w:p w14:paraId="0DA670ED">
            <w:pPr>
              <w:rPr>
                <w:szCs w:val="20"/>
              </w:rPr>
            </w:pPr>
          </w:p>
        </w:tc>
        <w:tc>
          <w:tcPr>
            <w:tcW w:w="3880" w:type="pct"/>
            <w:shd w:val="clear" w:color="auto" w:fill="auto"/>
          </w:tcPr>
          <w:p w14:paraId="2FB37514">
            <w:pPr>
              <w:pStyle w:val="60"/>
              <w:jc w:val="both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Cs w:val="24"/>
                <w:highlight w:val="none"/>
                <w:lang w:eastAsia="zh-CN"/>
              </w:rPr>
              <w:t>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спользование различных способов коммуникации (письмо на ладони (дермография), дактилология, жестовый язык)</w:t>
            </w:r>
          </w:p>
        </w:tc>
      </w:tr>
      <w:tr w14:paraId="2A692E5A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0256FD44">
            <w:pPr>
              <w:rPr>
                <w:szCs w:val="20"/>
              </w:rPr>
            </w:pPr>
          </w:p>
        </w:tc>
        <w:tc>
          <w:tcPr>
            <w:tcW w:w="3880" w:type="pct"/>
            <w:shd w:val="clear" w:color="auto" w:fill="auto"/>
          </w:tcPr>
          <w:p w14:paraId="5E3ECDC7">
            <w:pPr>
              <w:pStyle w:val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sans-serif" w:cs="Times New Roman"/>
                <w:color w:val="auto"/>
                <w:sz w:val="24"/>
                <w:szCs w:val="24"/>
                <w:shd w:val="clear" w:color="auto" w:fill="FFFFFF"/>
                <w:lang w:eastAsia="zh-CN" w:bidi="ar"/>
              </w:rPr>
              <w:t>Предварительная подготовка и создание текста тифлосурдоперевода  по соответствующей тематике</w:t>
            </w:r>
          </w:p>
        </w:tc>
      </w:tr>
      <w:tr w14:paraId="295C1822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0A826FB9">
            <w:pPr>
              <w:rPr>
                <w:szCs w:val="20"/>
              </w:rPr>
            </w:pPr>
          </w:p>
        </w:tc>
        <w:tc>
          <w:tcPr>
            <w:tcW w:w="3880" w:type="pct"/>
          </w:tcPr>
          <w:p w14:paraId="507C27EF">
            <w:pPr>
              <w:pStyle w:val="60"/>
              <w:jc w:val="both"/>
              <w:rPr>
                <w:szCs w:val="24"/>
                <w:highlight w:val="green"/>
                <w:lang w:eastAsia="zh-CN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Трансляция получаемой информации в тактильную (контактную) дактильную азбуку или тактильный жестовый язык с сохранением стилистики и смысловой нагрузки </w:t>
            </w:r>
          </w:p>
        </w:tc>
      </w:tr>
      <w:tr w14:paraId="565F0AA3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7A36AA0E">
            <w:pPr>
              <w:rPr>
                <w:szCs w:val="20"/>
              </w:rPr>
            </w:pPr>
          </w:p>
        </w:tc>
        <w:tc>
          <w:tcPr>
            <w:tcW w:w="3880" w:type="pct"/>
          </w:tcPr>
          <w:p w14:paraId="2072276B">
            <w:pPr>
              <w:pStyle w:val="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Осуществление последовательного тифлосурдоперевода, используя соответствующий способ коммуникации, для лица с одновременным нарушением зрения и слуха (слепоглухого) в социально-бытовой сфере и на культурно-массовых мероприятиях</w:t>
            </w:r>
          </w:p>
        </w:tc>
      </w:tr>
      <w:tr w14:paraId="65F19D8A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64F79392">
            <w:pPr>
              <w:rPr>
                <w:szCs w:val="20"/>
              </w:rPr>
            </w:pPr>
          </w:p>
        </w:tc>
        <w:tc>
          <w:tcPr>
            <w:tcW w:w="3880" w:type="pct"/>
          </w:tcPr>
          <w:p w14:paraId="5D622D4B">
            <w:pPr>
              <w:pStyle w:val="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eastAsia="sans-serif" w:cs="Times New Roman"/>
                <w:color w:val="auto"/>
                <w:sz w:val="24"/>
                <w:szCs w:val="24"/>
                <w:shd w:val="clear" w:color="auto" w:fill="FFFFFF"/>
                <w:lang w:eastAsia="zh-CN" w:bidi="ar"/>
              </w:rPr>
              <w:t xml:space="preserve">Выполнение достоверного перевода (прямого и обратного) лицам </w:t>
            </w: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с одновременным нарушением зрения и слуха (слепоглухим)</w:t>
            </w:r>
            <w:r>
              <w:rPr>
                <w:rFonts w:ascii="Times New Roman" w:hAnsi="Times New Roman" w:eastAsia="sans-serif" w:cs="Times New Roman"/>
                <w:color w:val="auto"/>
                <w:sz w:val="24"/>
                <w:szCs w:val="24"/>
                <w:shd w:val="clear" w:color="auto" w:fill="FFFFFF"/>
                <w:lang w:eastAsia="zh-CN" w:bidi="ar"/>
              </w:rPr>
              <w:t>, обеспечивая взаимопонимание между ними</w:t>
            </w:r>
          </w:p>
        </w:tc>
      </w:tr>
      <w:tr w14:paraId="1687D7D8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7AC61A44">
            <w:pPr>
              <w:rPr>
                <w:szCs w:val="20"/>
              </w:rPr>
            </w:pPr>
          </w:p>
        </w:tc>
        <w:tc>
          <w:tcPr>
            <w:tcW w:w="3880" w:type="pct"/>
          </w:tcPr>
          <w:p w14:paraId="7318B941">
            <w:pPr>
              <w:pStyle w:val="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Установление обратной связи с лицом с одновременным нарушением зрения и слуха (слепоглухим)</w:t>
            </w:r>
          </w:p>
        </w:tc>
      </w:tr>
      <w:tr w14:paraId="35C0E2BA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74703C3A">
            <w:pPr>
              <w:rPr>
                <w:szCs w:val="20"/>
              </w:rPr>
            </w:pPr>
          </w:p>
        </w:tc>
        <w:tc>
          <w:tcPr>
            <w:tcW w:w="3880" w:type="pct"/>
          </w:tcPr>
          <w:p w14:paraId="10C37735">
            <w:pPr>
              <w:pStyle w:val="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Обеспечение безопасности лиц с одновременным нарушением зрения и слуха (слепоглухих)</w:t>
            </w:r>
          </w:p>
        </w:tc>
      </w:tr>
      <w:tr w14:paraId="40C93A5D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restart"/>
          </w:tcPr>
          <w:p w14:paraId="43C6D56F">
            <w:pPr>
              <w:widowControl w:val="0"/>
              <w:rPr>
                <w:bCs/>
                <w:szCs w:val="20"/>
              </w:rPr>
            </w:pPr>
            <w:r>
              <w:rPr>
                <w:bCs/>
                <w:szCs w:val="20"/>
              </w:rPr>
              <w:t>Необходимые умения</w:t>
            </w:r>
          </w:p>
          <w:p w14:paraId="2C4FEC67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3DF6D153">
            <w:pPr>
              <w:pStyle w:val="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eastAsia="sans-serif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 xml:space="preserve"> </w:t>
            </w:r>
            <w:r>
              <w:rPr>
                <w:rFonts w:ascii="Times New Roman" w:hAnsi="Times New Roman" w:eastAsia="sans-serif" w:cs="Times New Roman"/>
                <w:color w:val="auto"/>
                <w:sz w:val="24"/>
                <w:szCs w:val="24"/>
                <w:shd w:val="clear" w:color="auto" w:fill="FFFFFF"/>
                <w:lang w:eastAsia="zh-CN" w:bidi="ar"/>
              </w:rPr>
              <w:t xml:space="preserve">Сопровождать лиц </w:t>
            </w: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с одновременным нарушением зрения и слуха (слепоглухих)</w:t>
            </w:r>
            <w:r>
              <w:rPr>
                <w:rFonts w:ascii="Times New Roman" w:hAnsi="Times New Roman" w:eastAsia="sans-serif" w:cs="Times New Roman"/>
                <w:color w:val="auto"/>
                <w:sz w:val="24"/>
                <w:szCs w:val="24"/>
                <w:shd w:val="clear" w:color="auto" w:fill="FFFFFF"/>
                <w:lang w:eastAsia="zh-CN" w:bidi="ar"/>
              </w:rPr>
              <w:t xml:space="preserve"> в различные организации (органы социальной защиты, здравоохранения, образования и другие организации)</w:t>
            </w:r>
          </w:p>
        </w:tc>
      </w:tr>
      <w:tr w14:paraId="5493C5A9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41C69DB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0" w:type="pct"/>
            <w:shd w:val="clear" w:color="auto" w:fill="auto"/>
          </w:tcPr>
          <w:p w14:paraId="03746F50">
            <w:pPr>
              <w:pStyle w:val="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Оценивать особенности коммуникативной ситуации перевода</w:t>
            </w:r>
          </w:p>
        </w:tc>
      </w:tr>
      <w:tr w14:paraId="1CD5D7B1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5674695D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214CDD63">
            <w:pPr>
              <w:pStyle w:val="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Определять тематическую область исходного сообщения</w:t>
            </w:r>
          </w:p>
        </w:tc>
      </w:tr>
      <w:tr w14:paraId="57348A6F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52C058AC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3816A13E">
            <w:pPr>
              <w:pStyle w:val="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Систематизировать и осваивать новую лексику</w:t>
            </w:r>
          </w:p>
        </w:tc>
      </w:tr>
      <w:tr w14:paraId="562D7114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7575D18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2F921F19">
            <w:pPr>
              <w:pStyle w:val="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eastAsia="sans-serif" w:cs="Times New Roman"/>
                <w:color w:val="34343C"/>
                <w:sz w:val="24"/>
                <w:szCs w:val="24"/>
                <w:shd w:val="clear" w:color="auto" w:fill="FFFFFF"/>
                <w:lang w:eastAsia="zh-CN" w:bidi="ar"/>
              </w:rPr>
              <w:t>Обеспечивать точное соответствие тифлосурдоперевода устной речи по смысловому содержанию</w:t>
            </w:r>
          </w:p>
        </w:tc>
      </w:tr>
      <w:tr w14:paraId="12B42C60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65BA3EB9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0E81555B">
            <w:pPr>
              <w:pStyle w:val="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Осуществлять последовательный и сопроводительный тифлосурдоперевод, используя соответствующий способ коммуникации для лица с одновременным нарушением зрения и слуха (слепоглухого) </w:t>
            </w:r>
          </w:p>
        </w:tc>
      </w:tr>
      <w:tr w14:paraId="282DCAC3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3D0B5228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641E916F">
            <w:pPr>
              <w:pStyle w:val="60"/>
              <w:jc w:val="both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ans-serif" w:cs="Times New Roman"/>
                <w:color w:val="auto"/>
                <w:sz w:val="24"/>
                <w:szCs w:val="24"/>
                <w:shd w:val="clear" w:color="auto" w:fill="FFFFFF"/>
                <w:lang w:eastAsia="zh-CN" w:bidi="ar"/>
              </w:rPr>
              <w:t>Использовать научные, технические и другие термины и определения</w:t>
            </w:r>
          </w:p>
        </w:tc>
      </w:tr>
      <w:tr w14:paraId="4595AB10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18E528E0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7F8FAABA">
            <w:pPr>
              <w:pStyle w:val="60"/>
              <w:jc w:val="both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  <w:t>Работать с поисковыми справочными, аналитическими системами, информационными ресурсами, базами данных и цифровыми сервисами</w:t>
            </w:r>
          </w:p>
        </w:tc>
      </w:tr>
      <w:tr w14:paraId="481007C8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69D01BF0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4B74F4F2">
            <w:pPr>
              <w:pStyle w:val="60"/>
              <w:jc w:val="both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Пользоваться различными способами коммуникаций в зависимости от предпочтений (умений) лиц с одновременным нарушением зрения и слуха (слепоглухих)</w:t>
            </w:r>
          </w:p>
        </w:tc>
      </w:tr>
      <w:tr w14:paraId="34B86289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1CF0E6A7">
            <w:pPr>
              <w:widowControl w:val="0"/>
              <w:rPr>
                <w:bCs/>
                <w:color w:val="C00000"/>
                <w:szCs w:val="20"/>
              </w:rPr>
            </w:pPr>
          </w:p>
        </w:tc>
        <w:tc>
          <w:tcPr>
            <w:tcW w:w="3880" w:type="pct"/>
          </w:tcPr>
          <w:p w14:paraId="335CCEAB">
            <w:pPr>
              <w:jc w:val="both"/>
              <w:rPr>
                <w:iCs/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Использовать в работе технические средства тифлосурдокоммуникации</w:t>
            </w:r>
          </w:p>
        </w:tc>
      </w:tr>
      <w:tr w14:paraId="3DEB5780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405CB491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6B97E9A5">
            <w:pPr>
              <w:pStyle w:val="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Осуществлять профессиональную коммуникацию между лицом с одновременным нарушением зрения и слуха (слепоглухим) и его собеседником</w:t>
            </w:r>
          </w:p>
        </w:tc>
      </w:tr>
      <w:tr w14:paraId="33787488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0888AD6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7E7040F2">
            <w:pPr>
              <w:pStyle w:val="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Оформлять отчетные документы о выполненном переводе</w:t>
            </w:r>
          </w:p>
        </w:tc>
      </w:tr>
      <w:tr w14:paraId="0BBE7FE8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restart"/>
          </w:tcPr>
          <w:p w14:paraId="2F1B5F8C">
            <w:pPr>
              <w:rPr>
                <w:szCs w:val="20"/>
              </w:rPr>
            </w:pPr>
            <w:r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80" w:type="pct"/>
          </w:tcPr>
          <w:p w14:paraId="482D450B">
            <w:pPr>
              <w:pStyle w:val="60"/>
              <w:jc w:val="both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Нормативные правовые акты и инструкции, регулирующие оказание услуг лицам с одновременным нарушением зрения и слуха (слепоглухим) </w:t>
            </w:r>
          </w:p>
        </w:tc>
      </w:tr>
      <w:tr w14:paraId="711071F4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263D90A5">
            <w:pPr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22E2C79C">
            <w:pPr>
              <w:pStyle w:val="60"/>
              <w:jc w:val="both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Рекомендации по организации коммуникативного контакта с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лицами, имеющими одновременно нарушения зрения и слуха (слепоглухими) </w:t>
            </w:r>
          </w:p>
        </w:tc>
      </w:tr>
      <w:tr w14:paraId="45FC4A1B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1EF08605">
            <w:pPr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0C522258">
            <w:pPr>
              <w:pStyle w:val="60"/>
              <w:jc w:val="both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Русский жестовый язык и русский язык как лингвистические системы</w:t>
            </w:r>
          </w:p>
        </w:tc>
      </w:tr>
      <w:tr w14:paraId="6E72713E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7AB3DA3A">
            <w:pPr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60C7DCE7">
            <w:pPr>
              <w:pStyle w:val="60"/>
              <w:jc w:val="both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Различные коммуникационные системы лиц с одновременным нарушением зрения и слуха (слепоглухих)</w:t>
            </w:r>
          </w:p>
        </w:tc>
      </w:tr>
      <w:tr w14:paraId="7EECE2A0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376F43DF">
            <w:pPr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428B8EAA">
            <w:pPr>
              <w:pStyle w:val="60"/>
              <w:jc w:val="both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Особенности коммуникации и восприятия информации различными категориями лиц с нарушениями зрения и слуха (слепоглухих)</w:t>
            </w:r>
          </w:p>
        </w:tc>
      </w:tr>
      <w:tr w14:paraId="22E5D7F6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08EE21DC">
            <w:pPr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433FFB7D">
            <w:pPr>
              <w:pStyle w:val="60"/>
              <w:jc w:val="both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ТСР, используемые при сопровождении (слуховой аппарат, кохлеарный имплант, брайлевский дисплей и другие)</w:t>
            </w:r>
          </w:p>
        </w:tc>
      </w:tr>
      <w:tr w14:paraId="69B21099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13D32B22">
            <w:pPr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1CE07340">
            <w:pPr>
              <w:pStyle w:val="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Теоретические и методические основы тифлосурдокоммуникации в сфере сопровождения лиц с нарушениями зрения и слуха (слепоглухих)</w:t>
            </w:r>
          </w:p>
        </w:tc>
      </w:tr>
      <w:tr w14:paraId="27563158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6F33C02E">
            <w:pPr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2F60958E">
            <w:pPr>
              <w:pStyle w:val="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Этические и нравственные нормы поведения, принятые в сообществах слепоглухих и зрячеслышащих людей</w:t>
            </w:r>
          </w:p>
        </w:tc>
      </w:tr>
      <w:tr w14:paraId="6AA1417F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30AFBEC2">
            <w:pPr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6135DE62">
            <w:pPr>
              <w:pStyle w:val="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Социокультурные, социально-психологические, психолого-педагогические основы межличностного взаимодействия, особенности психологии личности, в том числе лиц с одновременным нарушением зрения и слуха (слепоглухих)</w:t>
            </w:r>
          </w:p>
        </w:tc>
      </w:tr>
      <w:tr w14:paraId="595DF1AC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475A948E">
            <w:pPr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7901E93E">
            <w:pPr>
              <w:pStyle w:val="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Словарный запас на русском и русском жестовом языках</w:t>
            </w:r>
          </w:p>
        </w:tc>
      </w:tr>
      <w:tr w14:paraId="0AA0C966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040D40F5">
            <w:pPr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0B81B8F2">
            <w:pPr>
              <w:pStyle w:val="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Теория и практика </w:t>
            </w:r>
            <w:r>
              <w:rPr>
                <w:rStyle w:val="16"/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</w:rPr>
              <w:t>тифлосурдоперевода</w:t>
            </w:r>
          </w:p>
        </w:tc>
      </w:tr>
      <w:tr w14:paraId="44EA5855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555B0B58">
            <w:pPr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20CF1F23">
            <w:pPr>
              <w:pStyle w:val="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Профессиональная этика и основы делового общения</w:t>
            </w:r>
          </w:p>
        </w:tc>
      </w:tr>
      <w:tr w14:paraId="56807CCE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6D4B8DD1">
            <w:pPr>
              <w:rPr>
                <w:bCs/>
                <w:szCs w:val="20"/>
              </w:rPr>
            </w:pPr>
          </w:p>
        </w:tc>
        <w:tc>
          <w:tcPr>
            <w:tcW w:w="3880" w:type="pct"/>
            <w:vAlign w:val="center"/>
          </w:tcPr>
          <w:p w14:paraId="068C7C12">
            <w:pPr>
              <w:pStyle w:val="60"/>
              <w:jc w:val="both"/>
              <w:rPr>
                <w:iCs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Виды, структура и содержание документов, необходимых для оказания услуги тифлосурдоперевода, тифлосурдосопровождения</w:t>
            </w:r>
          </w:p>
        </w:tc>
      </w:tr>
      <w:tr w14:paraId="63FBB2E0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</w:tcPr>
          <w:p w14:paraId="1A40C281">
            <w:pPr>
              <w:widowControl w:val="0"/>
              <w:rPr>
                <w:bCs/>
                <w:szCs w:val="20"/>
              </w:rPr>
            </w:pPr>
            <w:r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80" w:type="pct"/>
          </w:tcPr>
          <w:p w14:paraId="41729645">
            <w:pPr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</w:tbl>
    <w:p w14:paraId="17EF4596">
      <w:pPr>
        <w:ind w:firstLine="709"/>
      </w:pPr>
    </w:p>
    <w:p w14:paraId="023E153D">
      <w:r>
        <w:rPr>
          <w:b/>
          <w:szCs w:val="20"/>
        </w:rPr>
        <w:t>3.2.2. Трудовая функция</w:t>
      </w:r>
    </w:p>
    <w:p w14:paraId="22C180E1"/>
    <w:tbl>
      <w:tblPr>
        <w:tblStyle w:val="12"/>
        <w:tblW w:w="4944" w:type="pct"/>
        <w:tblInd w:w="5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8"/>
        <w:gridCol w:w="4577"/>
        <w:gridCol w:w="612"/>
        <w:gridCol w:w="1014"/>
        <w:gridCol w:w="1686"/>
        <w:gridCol w:w="898"/>
      </w:tblGrid>
      <w:tr w14:paraId="752998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35" w:type="pct"/>
            <w:tcBorders>
              <w:top w:val="nil"/>
              <w:bottom w:val="nil"/>
              <w:right w:val="single" w:color="808080" w:sz="4" w:space="0"/>
            </w:tcBorders>
            <w:vAlign w:val="center"/>
          </w:tcPr>
          <w:p w14:paraId="747A08A9">
            <w:pPr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14:paraId="04D894CB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Ведение синхронного и двустороннего перевода с учетом специфики лиц с одновременным нарушением зрения и слуха</w:t>
            </w:r>
          </w:p>
        </w:tc>
        <w:tc>
          <w:tcPr>
            <w:tcW w:w="297" w:type="pct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</w:tcPr>
          <w:p w14:paraId="2AC9DD89">
            <w:pPr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>Код</w:t>
            </w:r>
          </w:p>
        </w:tc>
        <w:tc>
          <w:tcPr>
            <w:tcW w:w="492" w:type="pct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center"/>
          </w:tcPr>
          <w:p w14:paraId="1D44A7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В/02.6</w:t>
            </w:r>
          </w:p>
        </w:tc>
        <w:tc>
          <w:tcPr>
            <w:tcW w:w="817" w:type="pct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</w:tcPr>
          <w:p w14:paraId="6DDC19A5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36" w:type="pct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center"/>
          </w:tcPr>
          <w:p w14:paraId="2FD0B7D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</w:tbl>
    <w:p w14:paraId="57C5DDED"/>
    <w:tbl>
      <w:tblPr>
        <w:tblStyle w:val="12"/>
        <w:tblW w:w="4948" w:type="pct"/>
        <w:tblInd w:w="2" w:type="dxa"/>
        <w:tblBorders>
          <w:top w:val="single" w:color="7F7F7F" w:sz="2" w:space="0"/>
          <w:left w:val="single" w:color="7F7F7F" w:sz="2" w:space="0"/>
          <w:bottom w:val="single" w:color="7F7F7F" w:sz="2" w:space="0"/>
          <w:right w:val="single" w:color="7F7F7F" w:sz="2" w:space="0"/>
          <w:insideH w:val="single" w:color="7F7F7F" w:sz="2" w:space="0"/>
          <w:insideV w:val="single" w:color="7F7F7F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8"/>
        <w:gridCol w:w="8006"/>
      </w:tblGrid>
      <w:tr w14:paraId="12427224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restart"/>
          </w:tcPr>
          <w:p w14:paraId="5CDFC069">
            <w:pPr>
              <w:rPr>
                <w:szCs w:val="20"/>
              </w:rPr>
            </w:pPr>
            <w:r>
              <w:rPr>
                <w:szCs w:val="20"/>
              </w:rPr>
              <w:t>Трудовые действия</w:t>
            </w:r>
          </w:p>
        </w:tc>
        <w:tc>
          <w:tcPr>
            <w:tcW w:w="3880" w:type="pct"/>
          </w:tcPr>
          <w:p w14:paraId="0EE56AE4">
            <w:pPr>
              <w:pStyle w:val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ans-serif" w:cs="Times New Roman"/>
                <w:color w:val="auto"/>
                <w:sz w:val="24"/>
                <w:szCs w:val="24"/>
                <w:shd w:val="clear" w:color="auto" w:fill="FFFFFF"/>
                <w:lang w:eastAsia="zh-CN" w:bidi="ar"/>
              </w:rPr>
              <w:t xml:space="preserve">Осуществление прямого/обратного синхронного тифлосурдоперевода устной речи  для лиц </w:t>
            </w: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 с одновременным нарушением зрения и слуха (слепоглухих) в различных  ситуациях, сферах и процессах </w:t>
            </w:r>
          </w:p>
        </w:tc>
      </w:tr>
      <w:tr w14:paraId="51D03F41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661F1CE5">
            <w:pPr>
              <w:rPr>
                <w:szCs w:val="20"/>
              </w:rPr>
            </w:pPr>
          </w:p>
        </w:tc>
        <w:tc>
          <w:tcPr>
            <w:tcW w:w="3880" w:type="pct"/>
          </w:tcPr>
          <w:p w14:paraId="4BD75FC6">
            <w:pPr>
              <w:pStyle w:val="60"/>
              <w:jc w:val="both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Оценка особенностей восприятия у лица с одновременным нарушением зрения и слуха (слепоглухих) или аудитории</w:t>
            </w:r>
          </w:p>
        </w:tc>
      </w:tr>
      <w:tr w14:paraId="25F29D62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641D35C8">
            <w:pPr>
              <w:rPr>
                <w:szCs w:val="20"/>
              </w:rPr>
            </w:pPr>
          </w:p>
        </w:tc>
        <w:tc>
          <w:tcPr>
            <w:tcW w:w="3880" w:type="pct"/>
          </w:tcPr>
          <w:p w14:paraId="12B43219">
            <w:pPr>
              <w:pStyle w:val="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Настройка конфигурации рабочего места тифлосурдопереводчика перед началом работы</w:t>
            </w:r>
          </w:p>
        </w:tc>
      </w:tr>
      <w:tr w14:paraId="005E74A1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678C8A32">
            <w:pPr>
              <w:rPr>
                <w:szCs w:val="20"/>
              </w:rPr>
            </w:pPr>
          </w:p>
        </w:tc>
        <w:tc>
          <w:tcPr>
            <w:tcW w:w="3880" w:type="pct"/>
          </w:tcPr>
          <w:p w14:paraId="159E98F4">
            <w:pPr>
              <w:pStyle w:val="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Изучение терминологии в заданной сфере профессиональной деятельности</w:t>
            </w:r>
          </w:p>
        </w:tc>
      </w:tr>
      <w:tr w14:paraId="13E7D24C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42ACE981">
            <w:pPr>
              <w:rPr>
                <w:szCs w:val="20"/>
              </w:rPr>
            </w:pPr>
          </w:p>
        </w:tc>
        <w:tc>
          <w:tcPr>
            <w:tcW w:w="3880" w:type="pct"/>
          </w:tcPr>
          <w:p w14:paraId="7E86C95C">
            <w:pPr>
              <w:pStyle w:val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Осуществление тифлосурдоперевода с целью обеспечения межкультурной и межъязыковой коммуникации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429C9EA9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3F7B7B76">
            <w:pPr>
              <w:rPr>
                <w:szCs w:val="20"/>
              </w:rPr>
            </w:pPr>
          </w:p>
        </w:tc>
        <w:tc>
          <w:tcPr>
            <w:tcW w:w="3880" w:type="pct"/>
          </w:tcPr>
          <w:p w14:paraId="7F3C2D23">
            <w:pPr>
              <w:pStyle w:val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 метода тифлосурдоперевода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 различных коммуникативных ситуациях, сферах и процессах (социально-бытовые, производственные, образовательные, культурно-массовые, судебные, правовые, процессуальные, нотариальные)</w:t>
            </w:r>
          </w:p>
        </w:tc>
      </w:tr>
      <w:tr w14:paraId="63707FCD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1E0E0432">
            <w:pPr>
              <w:rPr>
                <w:szCs w:val="20"/>
              </w:rPr>
            </w:pPr>
          </w:p>
        </w:tc>
        <w:tc>
          <w:tcPr>
            <w:tcW w:w="3880" w:type="pct"/>
          </w:tcPr>
          <w:p w14:paraId="1AC3C530">
            <w:pPr>
              <w:pStyle w:val="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Установление обратной связи с лицом с одновременным нарушением зрения и слуха (слепоглухим)</w:t>
            </w:r>
          </w:p>
        </w:tc>
      </w:tr>
      <w:tr w14:paraId="7EB5B402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6DE3D29B">
            <w:pPr>
              <w:rPr>
                <w:szCs w:val="20"/>
              </w:rPr>
            </w:pPr>
          </w:p>
        </w:tc>
        <w:tc>
          <w:tcPr>
            <w:tcW w:w="3880" w:type="pct"/>
          </w:tcPr>
          <w:p w14:paraId="58137D2B">
            <w:pPr>
              <w:pStyle w:val="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Осуществление тифлосурдоперевода в паре со вторым переводчиком</w:t>
            </w:r>
          </w:p>
        </w:tc>
      </w:tr>
      <w:tr w14:paraId="762E10AF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1BC7A551">
            <w:pPr>
              <w:rPr>
                <w:szCs w:val="20"/>
              </w:rPr>
            </w:pPr>
          </w:p>
        </w:tc>
        <w:tc>
          <w:tcPr>
            <w:tcW w:w="3880" w:type="pct"/>
          </w:tcPr>
          <w:p w14:paraId="551DE02D">
            <w:pPr>
              <w:pStyle w:val="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Самоконтроль качества тифлосурдоперевода и его соответствия переводческому заданию</w:t>
            </w:r>
          </w:p>
        </w:tc>
      </w:tr>
      <w:tr w14:paraId="1505E6B7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604310D1">
            <w:pPr>
              <w:rPr>
                <w:szCs w:val="20"/>
              </w:rPr>
            </w:pPr>
          </w:p>
        </w:tc>
        <w:tc>
          <w:tcPr>
            <w:tcW w:w="3880" w:type="pct"/>
          </w:tcPr>
          <w:p w14:paraId="07E91CE3">
            <w:pPr>
              <w:pStyle w:val="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Обеспечение безопасности лица с одновременным нарушением зрения и слуха (слепоглухого)</w:t>
            </w:r>
          </w:p>
        </w:tc>
      </w:tr>
      <w:tr w14:paraId="7F098ECE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restart"/>
          </w:tcPr>
          <w:p w14:paraId="1E70C171">
            <w:pPr>
              <w:widowControl w:val="0"/>
              <w:rPr>
                <w:bCs/>
                <w:szCs w:val="20"/>
              </w:rPr>
            </w:pPr>
            <w:r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880" w:type="pct"/>
          </w:tcPr>
          <w:p w14:paraId="66B9C00D">
            <w:pPr>
              <w:pStyle w:val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Оценивать особенности коммуникативной ситуации перевода</w:t>
            </w:r>
          </w:p>
        </w:tc>
      </w:tr>
      <w:tr w14:paraId="44CEE07F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2CB87E1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3CCAA2A8">
            <w:pPr>
              <w:pStyle w:val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тематическую область исходного сообщения</w:t>
            </w:r>
          </w:p>
        </w:tc>
      </w:tr>
      <w:tr w14:paraId="093546F2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4F873D5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1248AD83">
            <w:pPr>
              <w:pStyle w:val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Свободно пользоваться русским и русским жестовым языком, разными способами коммуникации с лицами с одновременным нарушением зрения и слуха (слепоглухими)</w:t>
            </w:r>
          </w:p>
        </w:tc>
      </w:tr>
      <w:tr w14:paraId="1B2F6D41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5BEF68E9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0A9898ED">
            <w:pPr>
              <w:pStyle w:val="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Систематизировать и осваивать новую лексику</w:t>
            </w:r>
          </w:p>
        </w:tc>
      </w:tr>
      <w:tr w14:paraId="61308B2F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057F101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7698DBAE">
            <w:pPr>
              <w:pStyle w:val="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Распознавать и использовать экстралингвистическую информацию</w:t>
            </w:r>
          </w:p>
        </w:tc>
      </w:tr>
      <w:tr w14:paraId="003E82B5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1E587659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42C0F9DE">
            <w:pPr>
              <w:pStyle w:val="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Определять технологии перевода в различных коммуникативных ситуациях, сферах и процессах (социально-бытовые, производственные, образовательные, культурно-массовые, судебные, правовые, процессуальные, нотариальные)</w:t>
            </w:r>
          </w:p>
        </w:tc>
      </w:tr>
      <w:tr w14:paraId="43E0A615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7929110C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377FFB83">
            <w:pPr>
              <w:pStyle w:val="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Осуществлять синхронный тифлосурдоперевод, используя соответствующий способ коммуникации для лица с одновременным нарушением зрения и слуха (слепоглухого) в различных ситуациях, сферах и процессах</w:t>
            </w:r>
          </w:p>
        </w:tc>
      </w:tr>
      <w:tr w14:paraId="101653FE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1C505723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512B9595">
            <w:pPr>
              <w:pStyle w:val="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Осуществлять межкультурный диалог между зрячеслышащими и лицами с одновременным нарушением зрения и слуха (слепоглухими)</w:t>
            </w:r>
          </w:p>
        </w:tc>
      </w:tr>
      <w:tr w14:paraId="729D651C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5F24ED4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0" w:type="pct"/>
            <w:shd w:val="clear" w:color="auto" w:fill="auto"/>
          </w:tcPr>
          <w:p w14:paraId="6057F111">
            <w:pPr>
              <w:pStyle w:val="60"/>
              <w:jc w:val="both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ans-serif" w:cs="Times New Roman"/>
                <w:color w:val="auto"/>
                <w:sz w:val="24"/>
                <w:szCs w:val="24"/>
                <w:shd w:val="clear" w:color="auto" w:fill="FFFFFF"/>
                <w:lang w:eastAsia="zh-CN" w:bidi="ar"/>
              </w:rPr>
              <w:t>Использовать научные, технические и другие новые термины и определения</w:t>
            </w:r>
          </w:p>
        </w:tc>
      </w:tr>
      <w:tr w14:paraId="05369290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573923C3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0" w:type="pct"/>
            <w:shd w:val="clear" w:color="auto" w:fill="auto"/>
          </w:tcPr>
          <w:p w14:paraId="3651861A">
            <w:pPr>
              <w:pStyle w:val="60"/>
              <w:jc w:val="both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auto"/>
                <w:sz w:val="24"/>
                <w:szCs w:val="24"/>
              </w:rPr>
              <w:t>Работать с поисковыми справочными, аналитическими системами, информационными ресурсами, базами данных и цифровыми сервисами</w:t>
            </w:r>
          </w:p>
        </w:tc>
      </w:tr>
      <w:tr w14:paraId="16D2596B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119" w:type="pct"/>
            <w:vMerge w:val="continue"/>
          </w:tcPr>
          <w:p w14:paraId="093B4CC9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0" w:type="pct"/>
            <w:shd w:val="clear" w:color="auto" w:fill="auto"/>
          </w:tcPr>
          <w:p w14:paraId="7936BE08">
            <w:pPr>
              <w:pStyle w:val="60"/>
              <w:jc w:val="both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Пользоваться различными способами коммуникаций в зависимости от предпочтений (умений) лиц с одновременным нарушением зрения и слуха (слепоглухих)</w:t>
            </w:r>
          </w:p>
        </w:tc>
      </w:tr>
      <w:tr w14:paraId="02E709BF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74D5EDD9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0" w:type="pct"/>
            <w:shd w:val="clear" w:color="auto" w:fill="auto"/>
          </w:tcPr>
          <w:p w14:paraId="42200D7E">
            <w:pPr>
              <w:jc w:val="both"/>
              <w:rPr>
                <w:iCs/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Использовать в работе технические средства тифлосурдокоммуникации</w:t>
            </w:r>
          </w:p>
        </w:tc>
      </w:tr>
      <w:tr w14:paraId="09D230CA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02564E5C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0" w:type="pct"/>
            <w:shd w:val="clear" w:color="auto" w:fill="auto"/>
          </w:tcPr>
          <w:p w14:paraId="668DCF88">
            <w:pPr>
              <w:pStyle w:val="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Использовать формулы речевого этикета, соответствующие коммуникативной ситуации</w:t>
            </w:r>
          </w:p>
        </w:tc>
      </w:tr>
      <w:tr w14:paraId="17E226B4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745D9E4D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0" w:type="pct"/>
            <w:shd w:val="clear" w:color="auto" w:fill="auto"/>
          </w:tcPr>
          <w:p w14:paraId="39D0DF56">
            <w:pPr>
              <w:pStyle w:val="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Осуществлять подготовку к переводческому мероприятию</w:t>
            </w:r>
          </w:p>
        </w:tc>
      </w:tr>
      <w:tr w14:paraId="1CE65665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04030015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0" w:type="pct"/>
            <w:shd w:val="clear" w:color="auto" w:fill="auto"/>
          </w:tcPr>
          <w:p w14:paraId="095D7DDB">
            <w:pPr>
              <w:pStyle w:val="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Осуществлять предпереводческий и постпереводческий анализ информации, способствующий точному восприятию исходного высказывания</w:t>
            </w:r>
          </w:p>
        </w:tc>
      </w:tr>
      <w:tr w14:paraId="4472A8C5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08798C7E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0" w:type="pct"/>
            <w:shd w:val="clear" w:color="auto" w:fill="auto"/>
          </w:tcPr>
          <w:p w14:paraId="3A819CD2">
            <w:pPr>
              <w:pStyle w:val="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Взаимодействовать со вторым тифлосурдопереводчиком при осуществлении тифлосурдоперевода</w:t>
            </w:r>
          </w:p>
        </w:tc>
      </w:tr>
      <w:tr w14:paraId="451BE348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751D93DF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0" w:type="pct"/>
            <w:shd w:val="clear" w:color="auto" w:fill="auto"/>
          </w:tcPr>
          <w:p w14:paraId="5A14D508">
            <w:pPr>
              <w:pStyle w:val="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Оформлять отчетные документы о выполненном переводе</w:t>
            </w:r>
          </w:p>
        </w:tc>
      </w:tr>
      <w:tr w14:paraId="4D28BC9B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restart"/>
          </w:tcPr>
          <w:p w14:paraId="3A0A88B9">
            <w:pPr>
              <w:rPr>
                <w:szCs w:val="20"/>
              </w:rPr>
            </w:pPr>
            <w:r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80" w:type="pct"/>
          </w:tcPr>
          <w:p w14:paraId="412BECD0">
            <w:pPr>
              <w:pStyle w:val="60"/>
              <w:jc w:val="both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Нормативные правовые акты и инструкции, регулирующие оказание услуг лицам с одновременным нарушением зрения и слуха (слепоглухим) </w:t>
            </w:r>
          </w:p>
        </w:tc>
      </w:tr>
      <w:tr w14:paraId="17E26DA3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2ED8665E">
            <w:pPr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3EDBF8BE">
            <w:pPr>
              <w:pStyle w:val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Рекомендации по организации коммуникативного контакта с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лицами, имеющими одновременно нарушения зрения и слуха (слепоглухими) </w:t>
            </w:r>
          </w:p>
        </w:tc>
      </w:tr>
      <w:tr w14:paraId="1B44916C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6494CD2C">
            <w:pPr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3B8FEB59">
            <w:pPr>
              <w:pStyle w:val="6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Русский жестовый язык как система лингвистических знаний, включающая в себя знание основных лексических, грамматических явлений и закономерностей, его функциональных разновидностей</w:t>
            </w:r>
          </w:p>
        </w:tc>
      </w:tr>
      <w:tr w14:paraId="6293CD8A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308B98C7">
            <w:pPr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7670DB23">
            <w:pPr>
              <w:pStyle w:val="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Различные способы коммуникации с лицами с одновременным нарушением зрения и слуха (слепоглухих)</w:t>
            </w:r>
          </w:p>
        </w:tc>
      </w:tr>
      <w:tr w14:paraId="44B01BF5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5B4122D7">
            <w:pPr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6CE267AC">
            <w:pPr>
              <w:pStyle w:val="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Особенности коммуникации и восприятия информации различными категориями лиц с нарушениями зрения и слуха (слепоглухих)</w:t>
            </w:r>
          </w:p>
        </w:tc>
      </w:tr>
      <w:tr w14:paraId="3A534320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332D6431">
            <w:pPr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6F696BA3">
            <w:pPr>
              <w:pStyle w:val="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Теоретические и методические основы тифлосурдокоммуникации в сфере сопровождения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лиц с нарушениями зрения и слуха (слепоглухих)</w:t>
            </w:r>
          </w:p>
        </w:tc>
      </w:tr>
      <w:tr w14:paraId="6301E270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274306A8">
            <w:pPr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51632150">
            <w:pPr>
              <w:pStyle w:val="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Этические и нравственные нормы поведения, принятые в сообществах слепоглухих и зрячеслышащих людей</w:t>
            </w:r>
          </w:p>
        </w:tc>
      </w:tr>
      <w:tr w14:paraId="2DFC9E73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5A58BD80">
            <w:pPr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196AB709">
            <w:pPr>
              <w:pStyle w:val="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Социокультурные, социально-психологические, психолого-педагогические основы межличностного взаимодействия, особенности психологии личности, в том числе лиц с одновременным нарушением зрения и слуха (слепоглухих)</w:t>
            </w:r>
          </w:p>
        </w:tc>
      </w:tr>
      <w:tr w14:paraId="43E907C5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4F5774DF">
            <w:pPr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692B79B5">
            <w:pPr>
              <w:pStyle w:val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Словарный запас на русском и русском жестовом языках</w:t>
            </w:r>
          </w:p>
        </w:tc>
      </w:tr>
      <w:tr w14:paraId="3F91E8B3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5DDBE370">
            <w:pPr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57B1157B">
            <w:pPr>
              <w:pStyle w:val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и практика </w:t>
            </w:r>
            <w:r>
              <w:rPr>
                <w:rStyle w:val="16"/>
                <w:rFonts w:ascii="Times New Roman" w:hAnsi="Times New Roman"/>
                <w:b w:val="0"/>
                <w:bCs/>
                <w:i w:val="0"/>
                <w:sz w:val="24"/>
                <w:szCs w:val="24"/>
              </w:rPr>
              <w:t>тифлосурдоперевода</w:t>
            </w:r>
          </w:p>
        </w:tc>
      </w:tr>
      <w:tr w14:paraId="2FA208FD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5B98ECC6">
            <w:pPr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14C0484A">
            <w:pPr>
              <w:pStyle w:val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этика и основы делового общения</w:t>
            </w:r>
          </w:p>
        </w:tc>
      </w:tr>
      <w:tr w14:paraId="3F8974B5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763F9E09">
            <w:pPr>
              <w:rPr>
                <w:bCs/>
                <w:szCs w:val="20"/>
              </w:rPr>
            </w:pPr>
          </w:p>
        </w:tc>
        <w:tc>
          <w:tcPr>
            <w:tcW w:w="3880" w:type="pct"/>
            <w:vAlign w:val="center"/>
          </w:tcPr>
          <w:p w14:paraId="019EAE18">
            <w:pPr>
              <w:pStyle w:val="6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Виды, структура и содержание документов, необходимых для оказания услуги тифлосурдоперевода, тифлосурдосопровождения</w:t>
            </w:r>
          </w:p>
        </w:tc>
      </w:tr>
      <w:tr w14:paraId="58D93E4A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</w:tcPr>
          <w:p w14:paraId="174F211E">
            <w:pPr>
              <w:widowControl w:val="0"/>
              <w:rPr>
                <w:bCs/>
                <w:szCs w:val="20"/>
              </w:rPr>
            </w:pPr>
            <w:r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80" w:type="pct"/>
          </w:tcPr>
          <w:p w14:paraId="51B64747">
            <w:pPr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</w:tbl>
    <w:p w14:paraId="1ECC3869">
      <w:pPr>
        <w:ind w:firstLine="709"/>
      </w:pPr>
    </w:p>
    <w:p w14:paraId="6BF71928">
      <w:pPr>
        <w:pStyle w:val="3"/>
      </w:pPr>
      <w:r>
        <w:t>3.3. Обобщенная трудовая функция</w:t>
      </w:r>
    </w:p>
    <w:p w14:paraId="018CFAC9"/>
    <w:tbl>
      <w:tblPr>
        <w:tblStyle w:val="12"/>
        <w:tblW w:w="4951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5"/>
        <w:gridCol w:w="4582"/>
        <w:gridCol w:w="714"/>
        <w:gridCol w:w="749"/>
        <w:gridCol w:w="1581"/>
        <w:gridCol w:w="1189"/>
      </w:tblGrid>
      <w:tr w14:paraId="12AD4E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29" w:type="pct"/>
            <w:tcBorders>
              <w:top w:val="nil"/>
              <w:bottom w:val="nil"/>
              <w:right w:val="single" w:color="7F7F7F" w:themeColor="background1" w:themeShade="80" w:sz="4" w:space="0"/>
            </w:tcBorders>
            <w:vAlign w:val="center"/>
          </w:tcPr>
          <w:p w14:paraId="187DB030">
            <w:pPr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20" w:type="pct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</w:tcPr>
          <w:p w14:paraId="28DCD9A3">
            <w:pPr>
              <w:rPr>
                <w:szCs w:val="24"/>
              </w:rPr>
            </w:pPr>
            <w:r>
              <w:rPr>
                <w:color w:val="auto"/>
              </w:rPr>
              <w:t>Управление качеством  тифлосурдоперевода и тифлосурдосопровождения  лиц с одновременными нарушениями зрения и слуха</w:t>
            </w:r>
          </w:p>
        </w:tc>
        <w:tc>
          <w:tcPr>
            <w:tcW w:w="346" w:type="pct"/>
            <w:tcBorders>
              <w:top w:val="nil"/>
              <w:left w:val="single" w:color="7F7F7F" w:themeColor="background1" w:themeShade="80" w:sz="4" w:space="0"/>
              <w:bottom w:val="nil"/>
              <w:right w:val="single" w:color="7F7F7F" w:themeColor="background1" w:themeShade="80" w:sz="4" w:space="0"/>
            </w:tcBorders>
            <w:vAlign w:val="center"/>
          </w:tcPr>
          <w:p w14:paraId="3B960A09">
            <w:pPr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>Код</w:t>
            </w:r>
          </w:p>
        </w:tc>
        <w:tc>
          <w:tcPr>
            <w:tcW w:w="363" w:type="pct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  <w:vAlign w:val="center"/>
          </w:tcPr>
          <w:p w14:paraId="060BC5D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</w:t>
            </w:r>
          </w:p>
        </w:tc>
        <w:tc>
          <w:tcPr>
            <w:tcW w:w="766" w:type="pct"/>
            <w:tcBorders>
              <w:top w:val="nil"/>
              <w:left w:val="single" w:color="7F7F7F" w:themeColor="background1" w:themeShade="80" w:sz="4" w:space="0"/>
              <w:bottom w:val="nil"/>
              <w:right w:val="single" w:color="7F7F7F" w:themeColor="background1" w:themeShade="80" w:sz="4" w:space="0"/>
            </w:tcBorders>
            <w:vAlign w:val="center"/>
          </w:tcPr>
          <w:p w14:paraId="0CB26F21">
            <w:pPr>
              <w:jc w:val="center"/>
              <w:rPr>
                <w:sz w:val="18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576" w:type="pct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  <w:vAlign w:val="center"/>
          </w:tcPr>
          <w:p w14:paraId="345DEF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</w:tbl>
    <w:p w14:paraId="1DBA32DE"/>
    <w:tbl>
      <w:tblPr>
        <w:tblStyle w:val="12"/>
        <w:tblW w:w="4954" w:type="pct"/>
        <w:tblInd w:w="-5" w:type="dxa"/>
        <w:tblBorders>
          <w:top w:val="single" w:color="808080" w:sz="4" w:space="0"/>
          <w:left w:val="none" w:color="auto" w:sz="0" w:space="0"/>
          <w:bottom w:val="single" w:color="808080" w:sz="4" w:space="0"/>
          <w:right w:val="none" w:color="auto" w:sz="0" w:space="0"/>
          <w:insideH w:val="single" w:color="808080" w:sz="4" w:space="0"/>
          <w:insideV w:val="single" w:color="80808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0"/>
        <w:gridCol w:w="8006"/>
      </w:tblGrid>
      <w:tr w14:paraId="14404572">
        <w:tblPrEx>
          <w:tblBorders>
            <w:top w:val="single" w:color="808080" w:sz="4" w:space="0"/>
            <w:left w:val="none" w:color="auto" w:sz="0" w:space="0"/>
            <w:bottom w:val="single" w:color="808080" w:sz="4" w:space="0"/>
            <w:right w:val="none" w:color="auto" w:sz="0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123" w:type="pct"/>
            <w:tcBorders>
              <w:left w:val="single" w:color="808080" w:sz="4" w:space="0"/>
            </w:tcBorders>
            <w:vAlign w:val="center"/>
          </w:tcPr>
          <w:p w14:paraId="0B3E34C9">
            <w:pPr>
              <w:rPr>
                <w:szCs w:val="20"/>
              </w:rPr>
            </w:pPr>
            <w:r>
              <w:rPr>
                <w:szCs w:val="20"/>
              </w:rPr>
              <w:t>Возможные наименования должностей, профессий рабочих</w:t>
            </w:r>
          </w:p>
        </w:tc>
        <w:tc>
          <w:tcPr>
            <w:tcW w:w="3877" w:type="pct"/>
            <w:tcBorders>
              <w:right w:val="single" w:color="808080" w:sz="4" w:space="0"/>
            </w:tcBorders>
          </w:tcPr>
          <w:p w14:paraId="60C8EFCB">
            <w:pPr>
              <w:rPr>
                <w:rFonts w:eastAsia="SimSun"/>
                <w:color w:val="auto"/>
                <w:szCs w:val="24"/>
                <w:lang w:eastAsia="zh-CN" w:bidi="ar"/>
              </w:rPr>
            </w:pPr>
            <w:r>
              <w:rPr>
                <w:rFonts w:eastAsia="SimSun"/>
                <w:color w:val="auto"/>
                <w:szCs w:val="24"/>
                <w:lang w:eastAsia="zh-CN" w:bidi="ar"/>
              </w:rPr>
              <w:t xml:space="preserve">Специалист по качеству тифлосурдоперевода </w:t>
            </w:r>
          </w:p>
          <w:p w14:paraId="6EA6E8DC">
            <w:r>
              <w:rPr>
                <w:color w:val="auto"/>
                <w:szCs w:val="24"/>
              </w:rPr>
              <w:t>Тифлосурдопереводчик-наставник</w:t>
            </w:r>
          </w:p>
        </w:tc>
      </w:tr>
    </w:tbl>
    <w:p w14:paraId="00B4F445">
      <w:pPr>
        <w:rPr>
          <w:szCs w:val="20"/>
        </w:rPr>
      </w:pPr>
    </w:p>
    <w:p w14:paraId="390BA3FA">
      <w:pPr>
        <w:rPr>
          <w:bCs/>
          <w:szCs w:val="20"/>
        </w:rPr>
      </w:pPr>
      <w:r>
        <w:rPr>
          <w:bCs/>
          <w:szCs w:val="20"/>
        </w:rPr>
        <w:t>Пути достижения квалификации</w:t>
      </w:r>
    </w:p>
    <w:p w14:paraId="0E9E8E68">
      <w:pPr>
        <w:rPr>
          <w:bCs/>
          <w:szCs w:val="20"/>
        </w:rPr>
      </w:pPr>
    </w:p>
    <w:tbl>
      <w:tblPr>
        <w:tblStyle w:val="12"/>
        <w:tblW w:w="4949" w:type="pct"/>
        <w:tblInd w:w="0" w:type="dxa"/>
        <w:tblBorders>
          <w:top w:val="single" w:color="808080" w:sz="4" w:space="0"/>
          <w:left w:val="none" w:color="auto" w:sz="0" w:space="0"/>
          <w:bottom w:val="single" w:color="808080" w:sz="4" w:space="0"/>
          <w:right w:val="none" w:color="auto" w:sz="0" w:space="0"/>
          <w:insideH w:val="single" w:color="808080" w:sz="4" w:space="0"/>
          <w:insideV w:val="single" w:color="80808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0"/>
        <w:gridCol w:w="8006"/>
      </w:tblGrid>
      <w:tr w14:paraId="59B1E57F">
        <w:tblPrEx>
          <w:tblBorders>
            <w:top w:val="single" w:color="808080" w:sz="4" w:space="0"/>
            <w:left w:val="none" w:color="auto" w:sz="0" w:space="0"/>
            <w:bottom w:val="single" w:color="808080" w:sz="4" w:space="0"/>
            <w:right w:val="none" w:color="auto" w:sz="0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120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C9EFE3">
            <w:pPr>
              <w:rPr>
                <w:szCs w:val="20"/>
              </w:rPr>
            </w:pPr>
            <w:r>
              <w:rPr>
                <w:szCs w:val="20"/>
              </w:rPr>
              <w:t>Образование и обучение</w:t>
            </w:r>
          </w:p>
        </w:tc>
        <w:tc>
          <w:tcPr>
            <w:tcW w:w="3879" w:type="pct"/>
            <w:tcBorders>
              <w:left w:val="single" w:color="auto" w:sz="4" w:space="0"/>
              <w:right w:val="single" w:color="808080" w:sz="4" w:space="0"/>
            </w:tcBorders>
            <w:vAlign w:val="center"/>
          </w:tcPr>
          <w:p w14:paraId="2504DBF1">
            <w:pPr>
              <w:pStyle w:val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образование — специалитет, магистратура и дополнительное профессиональное образование -  программы повышения квалификации в области сурдокоммуникации</w:t>
            </w:r>
          </w:p>
          <w:p w14:paraId="4676656C">
            <w:pPr>
              <w:pStyle w:val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471DB4E7">
            <w:pPr>
              <w:pStyle w:val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образование— специалитет, магистратура (непрофильное) и  дополнительное профессиональное образование - программы профессиональной переподготовки по профилю (направлению) профессиональной деятельности</w:t>
            </w:r>
          </w:p>
          <w:p w14:paraId="6799412A">
            <w:pPr>
              <w:pStyle w:val="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или</w:t>
            </w:r>
          </w:p>
          <w:p w14:paraId="726BCF90">
            <w:pPr>
              <w:pStyle w:val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Среднее профессиональное образование - программы подготовки специалистов среднего звена и дополнительное профессиональное образование по программе повышения квалификации в области сурдокоммуникации </w:t>
            </w:r>
          </w:p>
          <w:p w14:paraId="2F343CF1">
            <w:pPr>
              <w:pStyle w:val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или</w:t>
            </w:r>
          </w:p>
          <w:p w14:paraId="6E71AA5A">
            <w:pPr>
              <w:pStyle w:val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Среднее профессиональное образование (непрофильное) — программы подготовки специалистов среднего звена и дополнительное профессиональное образование - программы профессиональной переподготовки по профилю (направлению) профессиональной деятельности</w:t>
            </w:r>
          </w:p>
        </w:tc>
      </w:tr>
      <w:tr w14:paraId="50E1240D">
        <w:tblPrEx>
          <w:tblBorders>
            <w:top w:val="single" w:color="808080" w:sz="4" w:space="0"/>
            <w:left w:val="none" w:color="auto" w:sz="0" w:space="0"/>
            <w:bottom w:val="single" w:color="808080" w:sz="4" w:space="0"/>
            <w:right w:val="none" w:color="auto" w:sz="0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120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BE2257">
            <w:pPr>
              <w:rPr>
                <w:szCs w:val="20"/>
              </w:rPr>
            </w:pPr>
            <w:r>
              <w:rPr>
                <w:szCs w:val="20"/>
              </w:rPr>
              <w:t>Опыт практической работы</w:t>
            </w:r>
          </w:p>
        </w:tc>
        <w:tc>
          <w:tcPr>
            <w:tcW w:w="3879" w:type="pct"/>
            <w:tcBorders>
              <w:left w:val="single" w:color="auto" w:sz="4" w:space="0"/>
              <w:right w:val="single" w:color="808080" w:sz="4" w:space="0"/>
            </w:tcBorders>
          </w:tcPr>
          <w:p w14:paraId="513817FB">
            <w:pPr>
              <w:pStyle w:val="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 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менее 3 лет в должности тифлосурдопереводчика I категории или тифлосурдопереводчика высшей категории при высшем образовании </w:t>
            </w:r>
          </w:p>
          <w:p w14:paraId="6E007411">
            <w:pPr>
              <w:pStyle w:val="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6FFCD0BF">
            <w:pPr>
              <w:pStyle w:val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 менее 5 лет в должности тифлосурдопереводчика I категории или тифлосурдопереводчика высшей категории при среднем профессиональном образовании</w:t>
            </w:r>
          </w:p>
        </w:tc>
      </w:tr>
    </w:tbl>
    <w:p w14:paraId="6830D984">
      <w:pPr>
        <w:tabs>
          <w:tab w:val="left" w:pos="2484"/>
        </w:tabs>
        <w:rPr>
          <w:szCs w:val="24"/>
        </w:rPr>
      </w:pPr>
    </w:p>
    <w:tbl>
      <w:tblPr>
        <w:tblStyle w:val="12"/>
        <w:tblW w:w="4949" w:type="pct"/>
        <w:tblInd w:w="0" w:type="dxa"/>
        <w:tblBorders>
          <w:top w:val="single" w:color="808080" w:sz="4" w:space="0"/>
          <w:left w:val="none" w:color="auto" w:sz="0" w:space="0"/>
          <w:bottom w:val="single" w:color="808080" w:sz="4" w:space="0"/>
          <w:right w:val="none" w:color="auto" w:sz="0" w:space="0"/>
          <w:insideH w:val="single" w:color="808080" w:sz="4" w:space="0"/>
          <w:insideV w:val="single" w:color="80808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2"/>
        <w:gridCol w:w="8004"/>
      </w:tblGrid>
      <w:tr w14:paraId="2F3CAB5B">
        <w:tblPrEx>
          <w:tblBorders>
            <w:top w:val="single" w:color="808080" w:sz="4" w:space="0"/>
            <w:left w:val="none" w:color="auto" w:sz="0" w:space="0"/>
            <w:bottom w:val="single" w:color="808080" w:sz="4" w:space="0"/>
            <w:right w:val="none" w:color="auto" w:sz="0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121" w:type="pct"/>
            <w:tcBorders>
              <w:left w:val="single" w:color="808080" w:sz="4" w:space="0"/>
            </w:tcBorders>
            <w:vAlign w:val="center"/>
          </w:tcPr>
          <w:p w14:paraId="35159224">
            <w:pPr>
              <w:rPr>
                <w:szCs w:val="20"/>
              </w:rPr>
            </w:pPr>
            <w:r>
              <w:rPr>
                <w:szCs w:val="20"/>
              </w:rPr>
              <w:t xml:space="preserve">Особые условия допуска к работе </w:t>
            </w:r>
          </w:p>
        </w:tc>
        <w:tc>
          <w:tcPr>
            <w:tcW w:w="3879" w:type="pct"/>
            <w:tcBorders>
              <w:right w:val="single" w:color="808080" w:sz="4" w:space="0"/>
            </w:tcBorders>
            <w:vAlign w:val="center"/>
          </w:tcPr>
          <w:p w14:paraId="17944C37">
            <w:pPr>
              <w:rPr>
                <w:szCs w:val="24"/>
              </w:rPr>
            </w:pPr>
            <w:r>
              <w:rPr>
                <w:szCs w:val="24"/>
              </w:rPr>
              <w:t>Обучение по охране труда и проверка знания требований охраны труда</w:t>
            </w:r>
          </w:p>
        </w:tc>
      </w:tr>
      <w:tr w14:paraId="483F67CA">
        <w:tblPrEx>
          <w:tblBorders>
            <w:top w:val="single" w:color="808080" w:sz="4" w:space="0"/>
            <w:left w:val="none" w:color="auto" w:sz="0" w:space="0"/>
            <w:bottom w:val="single" w:color="808080" w:sz="4" w:space="0"/>
            <w:right w:val="none" w:color="auto" w:sz="0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121" w:type="pct"/>
            <w:tcBorders>
              <w:left w:val="single" w:color="808080" w:sz="4" w:space="0"/>
            </w:tcBorders>
            <w:vAlign w:val="center"/>
          </w:tcPr>
          <w:p w14:paraId="45867F93">
            <w:pPr>
              <w:rPr>
                <w:szCs w:val="20"/>
              </w:rPr>
            </w:pPr>
            <w:r>
              <w:rPr>
                <w:szCs w:val="20"/>
              </w:rPr>
              <w:t>Другие характеристики</w:t>
            </w:r>
          </w:p>
        </w:tc>
        <w:tc>
          <w:tcPr>
            <w:tcW w:w="3879" w:type="pct"/>
            <w:tcBorders>
              <w:right w:val="single" w:color="808080" w:sz="4" w:space="0"/>
            </w:tcBorders>
            <w:vAlign w:val="center"/>
          </w:tcPr>
          <w:p w14:paraId="53D9091C">
            <w:pPr>
              <w:rPr>
                <w:szCs w:val="24"/>
              </w:rPr>
            </w:pPr>
            <w:r>
              <w:t>Рекомендуется дополнительное профессиональное образование по программам повышения квалификации в соответствии с видом профессиональной деятельности не реже 1 раза в 3 года.</w:t>
            </w:r>
          </w:p>
        </w:tc>
      </w:tr>
    </w:tbl>
    <w:p w14:paraId="437D8A72"/>
    <w:p w14:paraId="42351DFE">
      <w:pPr>
        <w:rPr>
          <w:bCs/>
        </w:rPr>
      </w:pPr>
      <w:r>
        <w:rPr>
          <w:bCs/>
        </w:rPr>
        <w:t>Справочная информация</w:t>
      </w:r>
    </w:p>
    <w:p w14:paraId="0ACC664E"/>
    <w:tbl>
      <w:tblPr>
        <w:tblStyle w:val="12"/>
        <w:tblW w:w="4949" w:type="pct"/>
        <w:tblInd w:w="0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0"/>
        <w:gridCol w:w="1304"/>
        <w:gridCol w:w="6702"/>
      </w:tblGrid>
      <w:tr w14:paraId="703F1846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20" w:type="pct"/>
            <w:vAlign w:val="center"/>
          </w:tcPr>
          <w:p w14:paraId="5E7D675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документа</w:t>
            </w:r>
          </w:p>
        </w:tc>
        <w:tc>
          <w:tcPr>
            <w:tcW w:w="632" w:type="pct"/>
            <w:vAlign w:val="center"/>
          </w:tcPr>
          <w:p w14:paraId="0BF19C5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Код</w:t>
            </w:r>
          </w:p>
        </w:tc>
        <w:tc>
          <w:tcPr>
            <w:tcW w:w="3247" w:type="pct"/>
            <w:vAlign w:val="center"/>
          </w:tcPr>
          <w:p w14:paraId="4F07907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14:paraId="6A0D8C1F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0" w:type="pct"/>
          </w:tcPr>
          <w:p w14:paraId="3F9321DA">
            <w:pPr>
              <w:rPr>
                <w:szCs w:val="24"/>
              </w:rPr>
            </w:pPr>
            <w:r>
              <w:rPr>
                <w:szCs w:val="24"/>
              </w:rPr>
              <w:t>ОКЗ</w:t>
            </w:r>
          </w:p>
        </w:tc>
        <w:tc>
          <w:tcPr>
            <w:tcW w:w="632" w:type="pct"/>
          </w:tcPr>
          <w:p w14:paraId="0A867BBE">
            <w:pPr>
              <w:jc w:val="center"/>
            </w:pPr>
            <w:r>
              <w:rPr>
                <w:rFonts w:eastAsia="SimSun"/>
                <w:szCs w:val="24"/>
                <w:lang w:val="en-US" w:eastAsia="zh-CN" w:bidi="ar"/>
              </w:rPr>
              <w:t>1439</w:t>
            </w:r>
          </w:p>
        </w:tc>
        <w:tc>
          <w:tcPr>
            <w:tcW w:w="3247" w:type="pct"/>
          </w:tcPr>
          <w:p w14:paraId="6445EFCE">
            <w:pPr>
              <w:textAlignment w:val="top"/>
            </w:pPr>
            <w:r>
              <w:rPr>
                <w:rFonts w:eastAsia="SimSun"/>
                <w:szCs w:val="24"/>
                <w:lang w:eastAsia="zh-CN" w:bidi="ar"/>
              </w:rPr>
              <w:t xml:space="preserve"> Руководители иных сфер обслуживания, не входящие в другие группы</w:t>
            </w:r>
          </w:p>
        </w:tc>
      </w:tr>
      <w:tr w14:paraId="547AFE26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0" w:type="pct"/>
          </w:tcPr>
          <w:p w14:paraId="24C57CBF">
            <w:pPr>
              <w:rPr>
                <w:szCs w:val="24"/>
              </w:rPr>
            </w:pPr>
            <w:r>
              <w:rPr>
                <w:szCs w:val="24"/>
              </w:rPr>
              <w:t>ЕКС</w:t>
            </w:r>
          </w:p>
        </w:tc>
        <w:tc>
          <w:tcPr>
            <w:tcW w:w="632" w:type="pct"/>
          </w:tcPr>
          <w:p w14:paraId="474F6C0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3247" w:type="pct"/>
          </w:tcPr>
          <w:p w14:paraId="4CF0FF32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14:paraId="22BBF704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0" w:type="pct"/>
          </w:tcPr>
          <w:p w14:paraId="0D74E19B">
            <w:pPr>
              <w:rPr>
                <w:szCs w:val="24"/>
              </w:rPr>
            </w:pPr>
            <w:r>
              <w:rPr>
                <w:szCs w:val="24"/>
              </w:rPr>
              <w:t>ОКПДТР</w:t>
            </w:r>
          </w:p>
        </w:tc>
        <w:tc>
          <w:tcPr>
            <w:tcW w:w="632" w:type="pct"/>
            <w:shd w:val="clear" w:color="DDEBF7" w:fill="auto"/>
            <w:vAlign w:val="center"/>
          </w:tcPr>
          <w:p w14:paraId="57FFBD11">
            <w:pPr>
              <w:jc w:val="center"/>
              <w:textAlignment w:val="top"/>
              <w:rPr>
                <w:rFonts w:eastAsia="SimSun"/>
                <w:szCs w:val="24"/>
                <w:lang w:eastAsia="zh-CN" w:bidi="ar"/>
              </w:rPr>
            </w:pPr>
            <w:r>
              <w:rPr>
                <w:rFonts w:eastAsia="SimSun"/>
                <w:szCs w:val="24"/>
                <w:lang w:eastAsia="zh-CN" w:bidi="ar"/>
              </w:rPr>
              <w:t>203370</w:t>
            </w:r>
          </w:p>
        </w:tc>
        <w:tc>
          <w:tcPr>
            <w:tcW w:w="3247" w:type="pct"/>
          </w:tcPr>
          <w:p w14:paraId="09051324">
            <w:pPr>
              <w:textAlignment w:val="top"/>
              <w:rPr>
                <w:lang w:eastAsia="zh-CN"/>
              </w:rPr>
            </w:pPr>
            <w:r>
              <w:rPr>
                <w:rFonts w:eastAsia="SimSun"/>
                <w:szCs w:val="24"/>
                <w:lang w:eastAsia="zh-CN" w:bidi="ar"/>
              </w:rPr>
              <w:t>Руководитель организации (структурного подразделения) переводчиков русского жестового языка</w:t>
            </w:r>
          </w:p>
        </w:tc>
      </w:tr>
      <w:tr w14:paraId="34C22B90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20" w:type="pct"/>
          </w:tcPr>
          <w:p w14:paraId="20000B01">
            <w:pPr>
              <w:rPr>
                <w:szCs w:val="24"/>
              </w:rPr>
            </w:pPr>
            <w:r>
              <w:rPr>
                <w:szCs w:val="24"/>
              </w:rPr>
              <w:t>Перечни ВО</w:t>
            </w:r>
            <w:r>
              <w:rPr>
                <w:szCs w:val="24"/>
                <w:vertAlign w:val="superscript"/>
              </w:rPr>
              <w:t>,</w:t>
            </w:r>
          </w:p>
        </w:tc>
        <w:tc>
          <w:tcPr>
            <w:tcW w:w="632" w:type="pct"/>
          </w:tcPr>
          <w:p w14:paraId="3CB2E1D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44.04.03</w:t>
            </w:r>
          </w:p>
        </w:tc>
        <w:tc>
          <w:tcPr>
            <w:tcW w:w="3247" w:type="pct"/>
          </w:tcPr>
          <w:p w14:paraId="358E7242">
            <w:pPr>
              <w:rPr>
                <w:szCs w:val="24"/>
              </w:rPr>
            </w:pPr>
            <w:r>
              <w:rPr>
                <w:szCs w:val="24"/>
                <w:shd w:val="clear" w:color="auto" w:fill="FFFFFF"/>
              </w:rPr>
              <w:t>Специальное (дефектологическое) образование</w:t>
            </w:r>
          </w:p>
        </w:tc>
      </w:tr>
    </w:tbl>
    <w:p w14:paraId="180E0822"/>
    <w:p w14:paraId="6D5ACB81">
      <w:r>
        <w:rPr>
          <w:b/>
          <w:szCs w:val="20"/>
        </w:rPr>
        <w:t>3.3.1. Трудовая функция</w:t>
      </w:r>
    </w:p>
    <w:p w14:paraId="4F3DF4D2"/>
    <w:tbl>
      <w:tblPr>
        <w:tblStyle w:val="12"/>
        <w:tblW w:w="4944" w:type="pct"/>
        <w:tblInd w:w="5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8"/>
        <w:gridCol w:w="4577"/>
        <w:gridCol w:w="612"/>
        <w:gridCol w:w="1014"/>
        <w:gridCol w:w="1686"/>
        <w:gridCol w:w="898"/>
      </w:tblGrid>
      <w:tr w14:paraId="3CA510F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35" w:type="pct"/>
            <w:tcBorders>
              <w:top w:val="nil"/>
              <w:bottom w:val="nil"/>
              <w:right w:val="single" w:color="808080" w:sz="4" w:space="0"/>
            </w:tcBorders>
            <w:vAlign w:val="center"/>
          </w:tcPr>
          <w:p w14:paraId="4249A004">
            <w:pPr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14:paraId="00641E74">
            <w:pPr>
              <w:rPr>
                <w:rFonts w:eastAsia="SimSun"/>
                <w:szCs w:val="24"/>
              </w:rPr>
            </w:pPr>
            <w:r>
              <w:rPr>
                <w:rFonts w:eastAsia="SimSun"/>
                <w:szCs w:val="24"/>
              </w:rPr>
              <w:t>Консультирование в области тифлосурдоперевода и наставничество тифлосурдопереводчиков</w:t>
            </w:r>
          </w:p>
          <w:p w14:paraId="1987BC00">
            <w:pPr>
              <w:rPr>
                <w:szCs w:val="24"/>
              </w:rPr>
            </w:pPr>
          </w:p>
        </w:tc>
        <w:tc>
          <w:tcPr>
            <w:tcW w:w="297" w:type="pct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</w:tcPr>
          <w:p w14:paraId="2699A2F0">
            <w:pPr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>Код</w:t>
            </w:r>
          </w:p>
        </w:tc>
        <w:tc>
          <w:tcPr>
            <w:tcW w:w="492" w:type="pct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center"/>
          </w:tcPr>
          <w:p w14:paraId="3A74B78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С/01.7</w:t>
            </w:r>
          </w:p>
        </w:tc>
        <w:tc>
          <w:tcPr>
            <w:tcW w:w="817" w:type="pct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</w:tcPr>
          <w:p w14:paraId="3E86D1C4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36" w:type="pct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center"/>
          </w:tcPr>
          <w:p w14:paraId="06ACCA2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</w:tbl>
    <w:p w14:paraId="0C46C5FC"/>
    <w:tbl>
      <w:tblPr>
        <w:tblStyle w:val="12"/>
        <w:tblW w:w="4948" w:type="pct"/>
        <w:tblInd w:w="2" w:type="dxa"/>
        <w:tblBorders>
          <w:top w:val="single" w:color="7F7F7F" w:sz="2" w:space="0"/>
          <w:left w:val="single" w:color="7F7F7F" w:sz="2" w:space="0"/>
          <w:bottom w:val="single" w:color="7F7F7F" w:sz="2" w:space="0"/>
          <w:right w:val="single" w:color="7F7F7F" w:sz="2" w:space="0"/>
          <w:insideH w:val="single" w:color="7F7F7F" w:sz="2" w:space="0"/>
          <w:insideV w:val="single" w:color="7F7F7F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8"/>
        <w:gridCol w:w="8006"/>
      </w:tblGrid>
      <w:tr w14:paraId="3AD106C7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restart"/>
          </w:tcPr>
          <w:p w14:paraId="3C508758">
            <w:pPr>
              <w:rPr>
                <w:szCs w:val="20"/>
              </w:rPr>
            </w:pPr>
            <w:r>
              <w:rPr>
                <w:szCs w:val="20"/>
              </w:rPr>
              <w:t>Трудовые действия</w:t>
            </w:r>
          </w:p>
        </w:tc>
        <w:tc>
          <w:tcPr>
            <w:tcW w:w="3880" w:type="pct"/>
          </w:tcPr>
          <w:p w14:paraId="5C38561D">
            <w:pPr>
              <w:pStyle w:val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Консультирование сторонних лиц и организаций по вопросам создания необходимых условий для организации работы тифлосурдопереводчика в различных условиях</w:t>
            </w:r>
          </w:p>
        </w:tc>
      </w:tr>
      <w:tr w14:paraId="00BA3D58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77862896">
            <w:pPr>
              <w:rPr>
                <w:szCs w:val="20"/>
              </w:rPr>
            </w:pPr>
          </w:p>
        </w:tc>
        <w:tc>
          <w:tcPr>
            <w:tcW w:w="3880" w:type="pct"/>
          </w:tcPr>
          <w:p w14:paraId="123335FF">
            <w:pPr>
              <w:pStyle w:val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Консультирование заинтересованных сторон по вопросам выполнения переводческого задания</w:t>
            </w:r>
          </w:p>
        </w:tc>
      </w:tr>
      <w:tr w14:paraId="507CCF5C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623DC5F7">
            <w:pPr>
              <w:rPr>
                <w:szCs w:val="20"/>
              </w:rPr>
            </w:pPr>
          </w:p>
        </w:tc>
        <w:tc>
          <w:tcPr>
            <w:tcW w:w="3880" w:type="pct"/>
          </w:tcPr>
          <w:p w14:paraId="416BACCB">
            <w:pPr>
              <w:pStyle w:val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тифлосурдопереводчика по вопросам повышения результативности межкультурного взаимодействия в рамках переводческой деятельности</w:t>
            </w:r>
          </w:p>
        </w:tc>
      </w:tr>
      <w:tr w14:paraId="5F5BB5C8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52D15743">
            <w:pPr>
              <w:rPr>
                <w:szCs w:val="20"/>
              </w:rPr>
            </w:pPr>
          </w:p>
        </w:tc>
        <w:tc>
          <w:tcPr>
            <w:tcW w:w="3880" w:type="pct"/>
          </w:tcPr>
          <w:p w14:paraId="2847C97A">
            <w:pPr>
              <w:pStyle w:val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тифлосурдопереводчика без опыта работы с особенностями работы с лицами с одновременным нарушением зрения и слуха (слепоглухими) </w:t>
            </w:r>
          </w:p>
        </w:tc>
      </w:tr>
      <w:tr w14:paraId="67D70C98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5E00689D">
            <w:pPr>
              <w:rPr>
                <w:szCs w:val="20"/>
              </w:rPr>
            </w:pPr>
          </w:p>
        </w:tc>
        <w:tc>
          <w:tcPr>
            <w:tcW w:w="3880" w:type="pct"/>
          </w:tcPr>
          <w:p w14:paraId="2A288F94">
            <w:pPr>
              <w:pStyle w:val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тифлосурдоперевода с целью обеспечения межкультурной и межъязыковой коммуникации </w:t>
            </w:r>
          </w:p>
        </w:tc>
      </w:tr>
      <w:tr w14:paraId="3621FD1F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30C94FCE">
            <w:pPr>
              <w:rPr>
                <w:szCs w:val="20"/>
              </w:rPr>
            </w:pPr>
          </w:p>
        </w:tc>
        <w:tc>
          <w:tcPr>
            <w:tcW w:w="3880" w:type="pct"/>
          </w:tcPr>
          <w:p w14:paraId="6126B86E">
            <w:pPr>
              <w:pStyle w:val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ошибок, допускаемых при тифлосурдопереводе, и информирование о них тифлосурдопереводчика</w:t>
            </w:r>
          </w:p>
        </w:tc>
      </w:tr>
      <w:tr w14:paraId="4D705745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56F657A1">
            <w:pPr>
              <w:rPr>
                <w:szCs w:val="20"/>
              </w:rPr>
            </w:pPr>
          </w:p>
        </w:tc>
        <w:tc>
          <w:tcPr>
            <w:tcW w:w="3880" w:type="pct"/>
          </w:tcPr>
          <w:p w14:paraId="2D78AA98">
            <w:pPr>
              <w:pStyle w:val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Ознакомление тифлосуродопереводчика с действующими локальными нормами и правилами организации и проведения тифлосурдоперевода</w:t>
            </w:r>
          </w:p>
        </w:tc>
      </w:tr>
      <w:tr w14:paraId="23CB9591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30F17016">
            <w:pPr>
              <w:rPr>
                <w:szCs w:val="20"/>
              </w:rPr>
            </w:pPr>
          </w:p>
        </w:tc>
        <w:tc>
          <w:tcPr>
            <w:tcW w:w="3880" w:type="pct"/>
          </w:tcPr>
          <w:p w14:paraId="4E437992">
            <w:pPr>
              <w:pStyle w:val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Разработка плана мероприятий по улучшению качества тифлосурдоперевода  </w:t>
            </w:r>
          </w:p>
        </w:tc>
      </w:tr>
      <w:tr w14:paraId="71854CCF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43E73713">
            <w:pPr>
              <w:rPr>
                <w:szCs w:val="20"/>
              </w:rPr>
            </w:pPr>
          </w:p>
        </w:tc>
        <w:tc>
          <w:tcPr>
            <w:tcW w:w="3880" w:type="pct"/>
          </w:tcPr>
          <w:p w14:paraId="1D6EB3B9">
            <w:pPr>
              <w:pStyle w:val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Обеспечение безопасности лиц с одновременным нарушением зрения и слуха  (слепоглухих)</w:t>
            </w:r>
          </w:p>
        </w:tc>
      </w:tr>
      <w:tr w14:paraId="42F2ACA4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20C779F5">
            <w:pPr>
              <w:rPr>
                <w:szCs w:val="20"/>
              </w:rPr>
            </w:pPr>
          </w:p>
        </w:tc>
        <w:tc>
          <w:tcPr>
            <w:tcW w:w="3880" w:type="pct"/>
          </w:tcPr>
          <w:p w14:paraId="305B807C">
            <w:pPr>
              <w:pStyle w:val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Составление отчетов по полученным результатам проведенных мероприятий по улучшению качества перевода</w:t>
            </w:r>
          </w:p>
        </w:tc>
      </w:tr>
      <w:tr w14:paraId="1EDEAB25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restart"/>
          </w:tcPr>
          <w:p w14:paraId="17C822E6">
            <w:pPr>
              <w:widowControl w:val="0"/>
              <w:rPr>
                <w:bCs/>
                <w:szCs w:val="20"/>
              </w:rPr>
            </w:pPr>
            <w:r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880" w:type="pct"/>
          </w:tcPr>
          <w:p w14:paraId="38119EAD">
            <w:pPr>
              <w:pStyle w:val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Осуществлять профессиональный тифлосурдоперевод для лиц с разной комбинацией нарушения зрения и слуха (слепоглухих)</w:t>
            </w:r>
          </w:p>
        </w:tc>
      </w:tr>
      <w:tr w14:paraId="56F7B21E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6D08939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5759BFD4">
            <w:pPr>
              <w:pStyle w:val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Осуществлять предпереводческий и постпереводческий анализ информации, способствующий точному восприятию исходного высказывания</w:t>
            </w:r>
          </w:p>
        </w:tc>
      </w:tr>
      <w:tr w14:paraId="6C21F9F0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6CF94DCC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0" w:type="pct"/>
            <w:shd w:val="clear" w:color="auto" w:fill="auto"/>
          </w:tcPr>
          <w:p w14:paraId="21143B4C">
            <w:pPr>
              <w:pStyle w:val="71"/>
            </w:pPr>
            <w:r>
              <w:t>Осуществлять лексикографический и терминологический контроль тифлосурдоперевода</w:t>
            </w:r>
          </w:p>
        </w:tc>
      </w:tr>
      <w:tr w14:paraId="0D552B46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01C4C495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0" w:type="pct"/>
            <w:shd w:val="clear" w:color="auto" w:fill="auto"/>
          </w:tcPr>
          <w:p w14:paraId="24788B07">
            <w:pPr>
              <w:pStyle w:val="71"/>
              <w:rPr>
                <w:color w:val="auto"/>
              </w:rPr>
            </w:pPr>
            <w:r>
              <w:rPr>
                <w:color w:val="auto"/>
              </w:rPr>
              <w:t>Проводить экспертизу тифлосурдоперевода и составлять экспертное заключение</w:t>
            </w:r>
          </w:p>
        </w:tc>
      </w:tr>
      <w:tr w14:paraId="3CF03991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42EE60E8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0" w:type="pct"/>
            <w:shd w:val="clear" w:color="auto" w:fill="auto"/>
          </w:tcPr>
          <w:p w14:paraId="1D67A6AB">
            <w:pPr>
              <w:pStyle w:val="71"/>
              <w:rPr>
                <w:color w:val="auto"/>
              </w:rPr>
            </w:pPr>
            <w:r>
              <w:rPr>
                <w:color w:val="auto"/>
              </w:rPr>
              <w:t>Объяснять специфику поведения в различных ситуациях межкультурного взаимодействия</w:t>
            </w:r>
          </w:p>
        </w:tc>
      </w:tr>
      <w:tr w14:paraId="1C5C5395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3432A6A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0" w:type="pct"/>
            <w:shd w:val="clear" w:color="auto" w:fill="auto"/>
          </w:tcPr>
          <w:p w14:paraId="23CE0D68">
            <w:pPr>
              <w:pStyle w:val="71"/>
              <w:rPr>
                <w:color w:val="auto"/>
              </w:rPr>
            </w:pPr>
            <w:r>
              <w:rPr>
                <w:color w:val="auto"/>
              </w:rPr>
              <w:t>Разрабатывать практические рекомендации по улучшению качества тифлосурдоперевода</w:t>
            </w:r>
          </w:p>
        </w:tc>
      </w:tr>
      <w:tr w14:paraId="57AB7C9C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1A9FB3ED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0" w:type="pct"/>
            <w:shd w:val="clear" w:color="auto" w:fill="auto"/>
          </w:tcPr>
          <w:p w14:paraId="76864D90">
            <w:pPr>
              <w:pStyle w:val="71"/>
              <w:rPr>
                <w:color w:val="auto"/>
              </w:rPr>
            </w:pPr>
            <w:r>
              <w:rPr>
                <w:color w:val="auto"/>
              </w:rPr>
              <w:t>Проводить совместные мероприятия с образовательными организациями, обучающими тифлосурдопереводу, по улучшению качества и обмену опытом</w:t>
            </w:r>
          </w:p>
        </w:tc>
      </w:tr>
      <w:tr w14:paraId="53DA14E6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2378B72E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0" w:type="pct"/>
            <w:shd w:val="clear" w:color="auto" w:fill="auto"/>
          </w:tcPr>
          <w:p w14:paraId="0984BC8F">
            <w:pPr>
              <w:pStyle w:val="71"/>
              <w:rPr>
                <w:color w:val="auto"/>
              </w:rPr>
            </w:pPr>
            <w:r>
              <w:rPr>
                <w:color w:val="auto"/>
              </w:rPr>
              <w:t>Проводить тестирование и аттестацию для выявления прогресса в процессе наставничества</w:t>
            </w:r>
          </w:p>
        </w:tc>
      </w:tr>
      <w:tr w14:paraId="4F1D7BF2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4020464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5CFC3D4F">
            <w:pPr>
              <w:pStyle w:val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и координировать тифлосурдопереводчискую деятельность в повседневной работе по сопровождению лиц с одновременным нарушением зрения и слуха  (слепоглухих) </w:t>
            </w:r>
          </w:p>
        </w:tc>
      </w:tr>
      <w:tr w14:paraId="2AC10F7A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restart"/>
          </w:tcPr>
          <w:p w14:paraId="45572A8D">
            <w:pPr>
              <w:rPr>
                <w:szCs w:val="20"/>
              </w:rPr>
            </w:pPr>
            <w:r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80" w:type="pct"/>
          </w:tcPr>
          <w:p w14:paraId="301CA83F">
            <w:pPr>
              <w:pStyle w:val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Алгоритм выполнения предпереводческого и постпереводческого анализа, тифлосурдокомментирования </w:t>
            </w:r>
          </w:p>
        </w:tc>
      </w:tr>
      <w:tr w14:paraId="6585B0C6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3FF24051">
            <w:pPr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5C46DB1F">
            <w:pPr>
              <w:pStyle w:val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предметной области </w:t>
            </w:r>
            <w:r>
              <w:rPr>
                <w:rStyle w:val="16"/>
                <w:rFonts w:ascii="Times New Roman" w:hAnsi="Times New Roman"/>
                <w:b w:val="0"/>
                <w:bCs/>
                <w:i w:val="0"/>
                <w:sz w:val="24"/>
                <w:szCs w:val="24"/>
              </w:rPr>
              <w:t>тифлосурдоперевода</w:t>
            </w:r>
          </w:p>
        </w:tc>
      </w:tr>
      <w:tr w14:paraId="78597BD0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49948AFE">
            <w:pPr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69ADF09D">
            <w:pPr>
              <w:pStyle w:val="71"/>
              <w:rPr>
                <w:szCs w:val="24"/>
              </w:rPr>
            </w:pPr>
            <w:r>
              <w:rPr>
                <w:color w:val="auto"/>
              </w:rPr>
              <w:t>Правила, приемы и процедуры проведения лингвистической экспертизы тифлосурдоперевода</w:t>
            </w:r>
          </w:p>
        </w:tc>
      </w:tr>
      <w:tr w14:paraId="4C6DF710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201C3115">
            <w:pPr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677E1307">
            <w:pPr>
              <w:pStyle w:val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Этические и нравственные нормы поведения, принятые в разных сообществах: слышащих, глухих, слабовидящих и незрячих людей</w:t>
            </w:r>
          </w:p>
        </w:tc>
      </w:tr>
      <w:tr w14:paraId="765D4766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09CFAC21">
            <w:pPr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090F15E1">
            <w:pPr>
              <w:pStyle w:val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и русский жестовый язык как лингвистические системы</w:t>
            </w:r>
          </w:p>
        </w:tc>
      </w:tr>
      <w:tr w14:paraId="5B033C70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23F25D4D">
            <w:pPr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49873DC6">
            <w:pPr>
              <w:pStyle w:val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Различные способы коммуникации с лицами с одновременным нарушением зрения и слуха  (слепоглухие)</w:t>
            </w:r>
          </w:p>
        </w:tc>
      </w:tr>
      <w:tr w14:paraId="25743E4A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0A076503">
            <w:pPr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3FE61495">
            <w:pPr>
              <w:pStyle w:val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Социально-региональные и стилистические варианты русского жестового  и русского языка</w:t>
            </w:r>
          </w:p>
        </w:tc>
      </w:tr>
      <w:tr w14:paraId="52894F78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54605384">
            <w:pPr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38207AE4">
            <w:pPr>
              <w:pStyle w:val="70"/>
              <w:spacing w:line="240" w:lineRule="auto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Style w:val="16"/>
                <w:rFonts w:ascii="Times New Roman" w:hAnsi="Times New Roman"/>
                <w:b w:val="0"/>
                <w:bCs/>
                <w:i w:val="0"/>
                <w:sz w:val="24"/>
                <w:szCs w:val="24"/>
              </w:rPr>
              <w:t>Общая теория тифлосурдоперевода и практические переводческие приемы</w:t>
            </w:r>
          </w:p>
        </w:tc>
      </w:tr>
      <w:tr w14:paraId="1E42DD68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552F96DB">
            <w:pPr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4FD6236C">
            <w:pPr>
              <w:pStyle w:val="70"/>
              <w:spacing w:line="240" w:lineRule="auto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Style w:val="16"/>
                <w:rFonts w:ascii="Times New Roman" w:hAnsi="Times New Roman"/>
                <w:b w:val="0"/>
                <w:bCs/>
                <w:i w:val="0"/>
                <w:sz w:val="24"/>
                <w:szCs w:val="24"/>
              </w:rPr>
              <w:t xml:space="preserve">Специальная теория тифлосурдоперевода </w:t>
            </w:r>
          </w:p>
        </w:tc>
      </w:tr>
      <w:tr w14:paraId="5604F253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79A52D7C">
            <w:pPr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18EB3BF3">
            <w:pPr>
              <w:pStyle w:val="70"/>
              <w:spacing w:line="240" w:lineRule="auto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этика и основы делового общения</w:t>
            </w:r>
          </w:p>
        </w:tc>
      </w:tr>
      <w:tr w14:paraId="1A25E7E9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</w:tcPr>
          <w:p w14:paraId="2AEF4E82">
            <w:pPr>
              <w:widowControl w:val="0"/>
              <w:rPr>
                <w:bCs/>
                <w:szCs w:val="20"/>
              </w:rPr>
            </w:pPr>
            <w:r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80" w:type="pct"/>
          </w:tcPr>
          <w:p w14:paraId="192FF177">
            <w:pPr>
              <w:pStyle w:val="70"/>
              <w:spacing w:line="240" w:lineRule="auto"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</w:p>
        </w:tc>
      </w:tr>
    </w:tbl>
    <w:p w14:paraId="0F45B267"/>
    <w:p w14:paraId="04B7F2C6">
      <w:r>
        <w:rPr>
          <w:b/>
          <w:szCs w:val="20"/>
        </w:rPr>
        <w:t>3.3.2. Трудовая функция</w:t>
      </w:r>
    </w:p>
    <w:p w14:paraId="5459C437"/>
    <w:tbl>
      <w:tblPr>
        <w:tblStyle w:val="12"/>
        <w:tblW w:w="4944" w:type="pct"/>
        <w:tblInd w:w="5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8"/>
        <w:gridCol w:w="4577"/>
        <w:gridCol w:w="612"/>
        <w:gridCol w:w="1014"/>
        <w:gridCol w:w="1686"/>
        <w:gridCol w:w="898"/>
      </w:tblGrid>
      <w:tr w14:paraId="7559E5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35" w:type="pct"/>
            <w:tcBorders>
              <w:top w:val="nil"/>
              <w:bottom w:val="nil"/>
              <w:right w:val="single" w:color="808080" w:sz="4" w:space="0"/>
            </w:tcBorders>
            <w:vAlign w:val="center"/>
          </w:tcPr>
          <w:p w14:paraId="16E5F7EE">
            <w:pPr>
              <w:rPr>
                <w:sz w:val="18"/>
                <w:szCs w:val="16"/>
              </w:rPr>
            </w:pPr>
            <w:r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14:paraId="0F651E8F">
            <w:pPr>
              <w:rPr>
                <w:szCs w:val="24"/>
              </w:rPr>
            </w:pPr>
            <w:r>
              <w:rPr>
                <w:rFonts w:eastAsia="SimSun"/>
                <w:szCs w:val="24"/>
              </w:rPr>
              <w:t xml:space="preserve"> </w:t>
            </w:r>
            <w:r>
              <w:rPr>
                <w:color w:val="auto"/>
                <w:szCs w:val="24"/>
              </w:rPr>
              <w:t>Контроль качества тифлосурдоперевода</w:t>
            </w:r>
          </w:p>
        </w:tc>
        <w:tc>
          <w:tcPr>
            <w:tcW w:w="297" w:type="pct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</w:tcPr>
          <w:p w14:paraId="35521729">
            <w:pPr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>Код</w:t>
            </w:r>
          </w:p>
        </w:tc>
        <w:tc>
          <w:tcPr>
            <w:tcW w:w="492" w:type="pct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center"/>
          </w:tcPr>
          <w:p w14:paraId="294F571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С/02.7</w:t>
            </w:r>
          </w:p>
        </w:tc>
        <w:tc>
          <w:tcPr>
            <w:tcW w:w="817" w:type="pct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</w:tcPr>
          <w:p w14:paraId="63CDB77E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36" w:type="pct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center"/>
          </w:tcPr>
          <w:p w14:paraId="6605534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</w:tbl>
    <w:p w14:paraId="14B9C345"/>
    <w:tbl>
      <w:tblPr>
        <w:tblStyle w:val="12"/>
        <w:tblW w:w="4948" w:type="pct"/>
        <w:tblInd w:w="2" w:type="dxa"/>
        <w:tblBorders>
          <w:top w:val="single" w:color="7F7F7F" w:sz="2" w:space="0"/>
          <w:left w:val="single" w:color="7F7F7F" w:sz="2" w:space="0"/>
          <w:bottom w:val="single" w:color="7F7F7F" w:sz="2" w:space="0"/>
          <w:right w:val="single" w:color="7F7F7F" w:sz="2" w:space="0"/>
          <w:insideH w:val="single" w:color="7F7F7F" w:sz="2" w:space="0"/>
          <w:insideV w:val="single" w:color="7F7F7F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8"/>
        <w:gridCol w:w="8006"/>
      </w:tblGrid>
      <w:tr w14:paraId="70FEE984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restart"/>
          </w:tcPr>
          <w:p w14:paraId="3584F254">
            <w:pPr>
              <w:rPr>
                <w:szCs w:val="20"/>
              </w:rPr>
            </w:pPr>
            <w:r>
              <w:rPr>
                <w:szCs w:val="20"/>
              </w:rPr>
              <w:t>Трудовые действия</w:t>
            </w:r>
          </w:p>
        </w:tc>
        <w:tc>
          <w:tcPr>
            <w:tcW w:w="3880" w:type="pct"/>
          </w:tcPr>
          <w:p w14:paraId="48514633">
            <w:pPr>
              <w:kinsoku w:val="0"/>
              <w:overflowPunct w:val="0"/>
              <w:jc w:val="both"/>
              <w:rPr>
                <w:color w:val="auto"/>
                <w:spacing w:val="-6"/>
                <w:highlight w:val="none"/>
              </w:rPr>
            </w:pPr>
            <w:r>
              <w:rPr>
                <w:color w:val="auto"/>
                <w:spacing w:val="-6"/>
                <w:highlight w:val="none"/>
              </w:rPr>
              <w:t xml:space="preserve">Разработка направлений и предложений по организации </w:t>
            </w:r>
            <w:r>
              <w:rPr>
                <w:color w:val="auto"/>
                <w:highlight w:val="none"/>
              </w:rPr>
              <w:t>процесса тифлосопровождения,  тифлосурдоперевода и межкультурного общения с лицами, имеющими одновременное нарушение зрения и слуха (слепоглухими)</w:t>
            </w:r>
          </w:p>
        </w:tc>
      </w:tr>
      <w:tr w14:paraId="6FF761CE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7E5168BB">
            <w:pPr>
              <w:rPr>
                <w:szCs w:val="20"/>
              </w:rPr>
            </w:pPr>
          </w:p>
        </w:tc>
        <w:tc>
          <w:tcPr>
            <w:tcW w:w="3880" w:type="pct"/>
          </w:tcPr>
          <w:p w14:paraId="142BD0D6">
            <w:pPr>
              <w:kinsoku w:val="0"/>
              <w:overflowPunct w:val="0"/>
              <w:jc w:val="both"/>
              <w:rPr>
                <w:color w:val="auto"/>
                <w:spacing w:val="-6"/>
                <w:highlight w:val="none"/>
              </w:rPr>
            </w:pPr>
            <w:r>
              <w:rPr>
                <w:color w:val="auto"/>
                <w:highlight w:val="none"/>
              </w:rPr>
              <w:t>Предпереводческий анализ исходного текста и переводческого задания</w:t>
            </w:r>
          </w:p>
        </w:tc>
      </w:tr>
      <w:tr w14:paraId="47D80780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0070014B">
            <w:pPr>
              <w:rPr>
                <w:szCs w:val="20"/>
              </w:rPr>
            </w:pPr>
          </w:p>
        </w:tc>
        <w:tc>
          <w:tcPr>
            <w:tcW w:w="3880" w:type="pct"/>
          </w:tcPr>
          <w:p w14:paraId="63EE4B9F">
            <w:pPr>
              <w:pStyle w:val="71"/>
              <w:rPr>
                <w:color w:val="auto"/>
                <w:spacing w:val="-6"/>
                <w:highlight w:val="none"/>
              </w:rPr>
            </w:pPr>
            <w:r>
              <w:rPr>
                <w:color w:val="auto"/>
                <w:highlight w:val="none"/>
              </w:rPr>
              <w:t>Контроль соблюдения общего порядка взаимодействия отдельных тифлосурдопереводчиков и  групп сурдопереводчиков</w:t>
            </w:r>
          </w:p>
        </w:tc>
      </w:tr>
      <w:tr w14:paraId="3144ECAC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45A49EA7">
            <w:pPr>
              <w:rPr>
                <w:szCs w:val="20"/>
              </w:rPr>
            </w:pPr>
          </w:p>
        </w:tc>
        <w:tc>
          <w:tcPr>
            <w:tcW w:w="3880" w:type="pct"/>
          </w:tcPr>
          <w:p w14:paraId="57674EBF">
            <w:pPr>
              <w:pStyle w:val="71"/>
              <w:rPr>
                <w:color w:val="auto"/>
                <w:spacing w:val="-6"/>
                <w:highlight w:val="none"/>
              </w:rPr>
            </w:pPr>
            <w:r>
              <w:rPr>
                <w:color w:val="auto"/>
                <w:highlight w:val="none"/>
              </w:rPr>
              <w:t>Контроль правильности подготовки документов по расчетам за выполненные работы</w:t>
            </w:r>
          </w:p>
        </w:tc>
      </w:tr>
      <w:tr w14:paraId="235FB76C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3C3862EB">
            <w:pPr>
              <w:rPr>
                <w:szCs w:val="20"/>
              </w:rPr>
            </w:pPr>
          </w:p>
        </w:tc>
        <w:tc>
          <w:tcPr>
            <w:tcW w:w="3880" w:type="pct"/>
          </w:tcPr>
          <w:p w14:paraId="5A37A271">
            <w:pPr>
              <w:kinsoku w:val="0"/>
              <w:overflowPunct w:val="0"/>
              <w:jc w:val="both"/>
              <w:rPr>
                <w:color w:val="auto"/>
                <w:spacing w:val="-6"/>
                <w:highlight w:val="none"/>
              </w:rPr>
            </w:pPr>
            <w:r>
              <w:rPr>
                <w:color w:val="auto"/>
                <w:spacing w:val="-6"/>
                <w:highlight w:val="none"/>
              </w:rPr>
              <w:t xml:space="preserve"> Распределение трудовых ресурсов, реализующих мероприятия по </w:t>
            </w:r>
            <w:r>
              <w:rPr>
                <w:color w:val="auto"/>
                <w:highlight w:val="none"/>
              </w:rPr>
              <w:t>тифлосопровождению,  тифлосурдопереводу и межкультурной коммуникации</w:t>
            </w:r>
          </w:p>
        </w:tc>
      </w:tr>
      <w:tr w14:paraId="37E7619D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2A0C7311">
            <w:pPr>
              <w:rPr>
                <w:szCs w:val="20"/>
              </w:rPr>
            </w:pPr>
          </w:p>
        </w:tc>
        <w:tc>
          <w:tcPr>
            <w:tcW w:w="3880" w:type="pct"/>
          </w:tcPr>
          <w:p w14:paraId="3AA71BEF">
            <w:pPr>
              <w:kinsoku w:val="0"/>
              <w:overflowPunct w:val="0"/>
              <w:jc w:val="both"/>
              <w:rPr>
                <w:color w:val="auto"/>
                <w:spacing w:val="-6"/>
                <w:highlight w:val="none"/>
              </w:rPr>
            </w:pPr>
            <w:r>
              <w:rPr>
                <w:color w:val="auto"/>
                <w:highlight w:val="none"/>
              </w:rPr>
              <w:t>Планировать временные, финансовые и технологические ресурсы для выполнения тфлосурдопереводческого задания</w:t>
            </w:r>
          </w:p>
        </w:tc>
      </w:tr>
      <w:tr w14:paraId="612CDAD5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19" w:type="pct"/>
            <w:vMerge w:val="continue"/>
          </w:tcPr>
          <w:p w14:paraId="429889F2">
            <w:pPr>
              <w:rPr>
                <w:szCs w:val="20"/>
              </w:rPr>
            </w:pPr>
          </w:p>
        </w:tc>
        <w:tc>
          <w:tcPr>
            <w:tcW w:w="3880" w:type="pct"/>
          </w:tcPr>
          <w:p w14:paraId="70F0CE72">
            <w:pPr>
              <w:kinsoku w:val="0"/>
              <w:overflowPunct w:val="0"/>
              <w:jc w:val="both"/>
              <w:rPr>
                <w:spacing w:val="-6"/>
              </w:rPr>
            </w:pPr>
            <w:r>
              <w:rPr>
                <w:iCs/>
                <w:szCs w:val="24"/>
              </w:rPr>
              <w:t>Оценка качества сопровождения и тифлосурдоперевода</w:t>
            </w:r>
          </w:p>
        </w:tc>
      </w:tr>
      <w:tr w14:paraId="7ADB8227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10D3FB1E">
            <w:pPr>
              <w:rPr>
                <w:szCs w:val="20"/>
              </w:rPr>
            </w:pPr>
          </w:p>
        </w:tc>
        <w:tc>
          <w:tcPr>
            <w:tcW w:w="3880" w:type="pct"/>
          </w:tcPr>
          <w:p w14:paraId="2F556A4B">
            <w:pPr>
              <w:pStyle w:val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Разработка мероприятий по улучшению качества тифлосурдосопровождения и тифлосурдоперевода</w:t>
            </w:r>
          </w:p>
        </w:tc>
      </w:tr>
      <w:tr w14:paraId="0FFA8AFD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521D1A3D">
            <w:pPr>
              <w:rPr>
                <w:szCs w:val="20"/>
              </w:rPr>
            </w:pPr>
          </w:p>
        </w:tc>
        <w:tc>
          <w:tcPr>
            <w:tcW w:w="3880" w:type="pct"/>
          </w:tcPr>
          <w:p w14:paraId="41846A9B">
            <w:pPr>
              <w:pStyle w:val="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Обеспечение безопасности лиц с одновременным нарушением слуха и зрения (слепоглухих)</w:t>
            </w:r>
          </w:p>
        </w:tc>
      </w:tr>
      <w:tr w14:paraId="09472C22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19B2B4C0">
            <w:pPr>
              <w:rPr>
                <w:szCs w:val="20"/>
              </w:rPr>
            </w:pPr>
          </w:p>
        </w:tc>
        <w:tc>
          <w:tcPr>
            <w:tcW w:w="3880" w:type="pct"/>
          </w:tcPr>
          <w:p w14:paraId="77CCDCFF">
            <w:pPr>
              <w:pStyle w:val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>ссмотрение жалоб лиц, имеющих одновременно нарушение зрения и слуха (слепоглухих), в отношении которых осуществлялись мероприятия по тифлосопровождению,  тифлосурдопереводу и межкультурной коммуникации</w:t>
            </w:r>
          </w:p>
        </w:tc>
      </w:tr>
      <w:tr w14:paraId="6A3B24D5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0A74D3D2">
            <w:pPr>
              <w:rPr>
                <w:szCs w:val="20"/>
              </w:rPr>
            </w:pPr>
          </w:p>
        </w:tc>
        <w:tc>
          <w:tcPr>
            <w:tcW w:w="3880" w:type="pct"/>
          </w:tcPr>
          <w:p w14:paraId="3EEECCFF">
            <w:pPr>
              <w:pStyle w:val="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 xml:space="preserve">Подготовка, оформление и представление материалов и отчетов 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 результатам проведенных мероп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>риятий тифлосопровождения,  тифлосурдоперевода и межкультурной коммуникации в органы управления, учреждения и представителям общественных организаций по вопросам сотрудничества и координации деятельности, в том числе в рамках межведомственного взаимодействия</w:t>
            </w:r>
          </w:p>
        </w:tc>
      </w:tr>
      <w:tr w14:paraId="343A7560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restart"/>
          </w:tcPr>
          <w:p w14:paraId="7A00E32E">
            <w:pPr>
              <w:widowControl w:val="0"/>
              <w:rPr>
                <w:bCs/>
                <w:szCs w:val="20"/>
              </w:rPr>
            </w:pPr>
            <w:r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880" w:type="pct"/>
          </w:tcPr>
          <w:p w14:paraId="0F1859D2">
            <w:pPr>
              <w:pStyle w:val="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Анализировать информацию об ограничениях жизнедеятельности, личных особенностях, жизненной ситуации лиц,  в отношении которых осуществляются мероприятия по тифлосопровождению,  тифлосурдопереводу и межкультурной коммуникации</w:t>
            </w:r>
          </w:p>
        </w:tc>
      </w:tr>
      <w:tr w14:paraId="6C27409B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41B5C488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75417B61">
            <w:pPr>
              <w:kinsoku w:val="0"/>
              <w:overflowPunct w:val="0"/>
              <w:jc w:val="both"/>
              <w:rPr>
                <w:spacing w:val="-6"/>
              </w:rPr>
            </w:pPr>
            <w:r>
              <w:t>Использовать информационные технологии  в проведении мероприятий по тифлосопровождению,  тифлосурдопереводу и межкультурной коммуникации</w:t>
            </w:r>
          </w:p>
        </w:tc>
      </w:tr>
      <w:tr w14:paraId="130D2E4C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2B297BB0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717AE76D">
            <w:pPr>
              <w:kinsoku w:val="0"/>
              <w:overflowPunct w:val="0"/>
              <w:jc w:val="both"/>
              <w:rPr>
                <w:iCs/>
                <w:szCs w:val="24"/>
              </w:rPr>
            </w:pPr>
            <w:r>
              <w:t>Проводить переговоры и согласовывать главные цели, задачи мероприятий по тифлосопровождению,  тифлосурдопереводу и межкультурной коммуникации со всеми участниками</w:t>
            </w:r>
          </w:p>
        </w:tc>
      </w:tr>
      <w:tr w14:paraId="666545AB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7BB5CA1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08169BD7">
            <w:pPr>
              <w:kinsoku w:val="0"/>
              <w:overflowPunct w:val="0"/>
              <w:jc w:val="both"/>
            </w:pPr>
            <w:r>
              <w:rPr>
                <w:iCs/>
                <w:szCs w:val="24"/>
              </w:rPr>
              <w:t>Координировать работу по реализации контрактов на оказание услуг по тифлосурдопереводу</w:t>
            </w:r>
          </w:p>
        </w:tc>
      </w:tr>
      <w:tr w14:paraId="18D92686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562EA4A9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566FC4AE">
            <w:pPr>
              <w:kinsoku w:val="0"/>
              <w:overflowPunct w:val="0"/>
              <w:jc w:val="both"/>
              <w:rPr>
                <w:spacing w:val="-6"/>
              </w:rPr>
            </w:pPr>
            <w:r>
              <w:rPr>
                <w:iCs/>
                <w:szCs w:val="24"/>
              </w:rPr>
              <w:t>Проводить экспертизу сопровождения и тифлосурдоперевода, осуществлять подготовку экспертного заключения</w:t>
            </w:r>
          </w:p>
        </w:tc>
      </w:tr>
      <w:tr w14:paraId="3EB6E7A8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5DA797F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017D4B1A">
            <w:pPr>
              <w:kinsoku w:val="0"/>
              <w:overflowPunct w:val="0"/>
              <w:jc w:val="both"/>
              <w:rPr>
                <w:spacing w:val="-6"/>
              </w:rPr>
            </w:pPr>
            <w:r>
              <w:rPr>
                <w:szCs w:val="24"/>
              </w:rPr>
              <w:t>Производить критическую оценку правильности выполнения перевода</w:t>
            </w:r>
          </w:p>
        </w:tc>
      </w:tr>
      <w:tr w14:paraId="26456A01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09E1EF41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3BA439AD">
            <w:pPr>
              <w:kinsoku w:val="0"/>
              <w:overflowPunct w:val="0"/>
              <w:jc w:val="both"/>
              <w:rPr>
                <w:spacing w:val="-6"/>
              </w:rPr>
            </w:pPr>
            <w:r>
              <w:rPr>
                <w:spacing w:val="-6"/>
              </w:rPr>
              <w:t xml:space="preserve">Разрабатывать программы, рекомендации и проекты, направленные на повышение качества оказания мероприятий </w:t>
            </w:r>
            <w:r>
              <w:t>по тифлосопровождению,  тифлосурдопереводу и межкультурной коммуникации</w:t>
            </w:r>
          </w:p>
        </w:tc>
      </w:tr>
      <w:tr w14:paraId="05E03630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restart"/>
          </w:tcPr>
          <w:p w14:paraId="50007F21">
            <w:pPr>
              <w:rPr>
                <w:szCs w:val="20"/>
              </w:rPr>
            </w:pPr>
            <w:r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80" w:type="pct"/>
          </w:tcPr>
          <w:p w14:paraId="3E19FBDE">
            <w:pPr>
              <w:kinsoku w:val="0"/>
              <w:overflowPunct w:val="0"/>
              <w:jc w:val="both"/>
              <w:rPr>
                <w:spacing w:val="-6"/>
              </w:rPr>
            </w:pPr>
            <w:r>
              <w:rPr>
                <w:iCs/>
                <w:szCs w:val="24"/>
              </w:rPr>
              <w:t>Нормативные правовые акты в области социальной защиты и трудовых отношений</w:t>
            </w:r>
          </w:p>
        </w:tc>
      </w:tr>
      <w:tr w14:paraId="6869F7FB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058B8E4E">
            <w:pPr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55DF0905">
            <w:pPr>
              <w:kinsoku w:val="0"/>
              <w:overflowPunct w:val="0"/>
              <w:jc w:val="both"/>
              <w:rPr>
                <w:spacing w:val="-6"/>
              </w:rPr>
            </w:pPr>
            <w:r>
              <w:rPr>
                <w:spacing w:val="-6"/>
              </w:rPr>
              <w:t xml:space="preserve">Национальные стандарты в области предоставления социальных услуг </w:t>
            </w:r>
            <w:r>
              <w:t>лицам, имеющим одновременное нарушение зрения и слуха (слепоглухим)</w:t>
            </w:r>
          </w:p>
        </w:tc>
      </w:tr>
      <w:tr w14:paraId="556BB96A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445B38FE">
            <w:pPr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7AA635D2">
            <w:pPr>
              <w:kinsoku w:val="0"/>
              <w:overflowPunct w:val="0"/>
              <w:jc w:val="both"/>
              <w:rPr>
                <w:spacing w:val="-6"/>
              </w:rPr>
            </w:pPr>
            <w:r>
              <w:rPr>
                <w:spacing w:val="-6"/>
              </w:rPr>
              <w:t>Технологии социального проектирования, моделирования и прогнозирования</w:t>
            </w:r>
          </w:p>
        </w:tc>
      </w:tr>
      <w:tr w14:paraId="4E4CCEA4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20B508BA">
            <w:pPr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5C1C8CA7">
            <w:pPr>
              <w:kinsoku w:val="0"/>
              <w:overflowPunct w:val="0"/>
              <w:jc w:val="both"/>
              <w:rPr>
                <w:spacing w:val="-6"/>
              </w:rPr>
            </w:pPr>
            <w:r>
              <w:rPr>
                <w:spacing w:val="-6"/>
              </w:rPr>
              <w:t>Основы информационных технологий в профессиональной деятельности</w:t>
            </w:r>
          </w:p>
        </w:tc>
      </w:tr>
      <w:tr w14:paraId="663C4B48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73A03999">
            <w:pPr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64CEA27C">
            <w:pPr>
              <w:kinsoku w:val="0"/>
              <w:overflowPunct w:val="0"/>
              <w:jc w:val="both"/>
              <w:rPr>
                <w:spacing w:val="-6"/>
              </w:rPr>
            </w:pPr>
            <w:r>
              <w:rPr>
                <w:spacing w:val="-6"/>
              </w:rPr>
              <w:t>Основные принципы, типы, стратегии и тактические приемы ведения переговоров, делового общения</w:t>
            </w:r>
          </w:p>
        </w:tc>
      </w:tr>
      <w:tr w14:paraId="0EEF0687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3220FA00">
            <w:pPr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36239A9B">
            <w:pPr>
              <w:kinsoku w:val="0"/>
              <w:overflowPunct w:val="0"/>
              <w:jc w:val="both"/>
              <w:rPr>
                <w:spacing w:val="-6"/>
              </w:rPr>
            </w:pPr>
            <w:r>
              <w:rPr>
                <w:spacing w:val="-6"/>
              </w:rPr>
              <w:t>Требования к конфиденциальности информации, хранению и обработке персональных данных</w:t>
            </w:r>
          </w:p>
        </w:tc>
      </w:tr>
      <w:tr w14:paraId="47759B5C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02DA10D5">
            <w:pPr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02C4802B">
            <w:pPr>
              <w:kinsoku w:val="0"/>
              <w:overflowPunct w:val="0"/>
              <w:jc w:val="both"/>
              <w:rPr>
                <w:spacing w:val="-6"/>
              </w:rPr>
            </w:pPr>
            <w:r>
              <w:rPr>
                <w:spacing w:val="-6"/>
              </w:rPr>
              <w:t>Психологические основы социального взаимодействия, направленного на решение профессиональных задач</w:t>
            </w:r>
          </w:p>
        </w:tc>
      </w:tr>
      <w:tr w14:paraId="6EDB4E91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05D5E992">
            <w:pPr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7A6E2701">
            <w:pPr>
              <w:kinsoku w:val="0"/>
              <w:overflowPunct w:val="0"/>
              <w:jc w:val="both"/>
              <w:rPr>
                <w:spacing w:val="-6"/>
              </w:rPr>
            </w:pPr>
            <w:r>
              <w:rPr>
                <w:spacing w:val="-6"/>
              </w:rPr>
              <w:t xml:space="preserve">Формы, методы и технологии повышения качества проведения мероприятий </w:t>
            </w:r>
            <w:r>
              <w:t>по тифлосопровождению,  тифлосурдопереводу и межкультурной коммуникации</w:t>
            </w:r>
          </w:p>
        </w:tc>
      </w:tr>
      <w:tr w14:paraId="490EDD28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6E61FE98">
            <w:pPr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4070F90A">
            <w:pPr>
              <w:kinsoku w:val="0"/>
              <w:overflowPunct w:val="0"/>
              <w:jc w:val="both"/>
              <w:rPr>
                <w:spacing w:val="-6"/>
              </w:rPr>
            </w:pPr>
            <w:r>
              <w:rPr>
                <w:spacing w:val="-6"/>
              </w:rPr>
              <w:t xml:space="preserve">Методы и технологии мероприятий </w:t>
            </w:r>
            <w:r>
              <w:t>по тифлосопровождению,  тифлосурдопереводу и межкультурной коммуникации</w:t>
            </w:r>
          </w:p>
        </w:tc>
      </w:tr>
      <w:tr w14:paraId="34EE33B5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5A473048">
            <w:pPr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78141172">
            <w:pPr>
              <w:kinsoku w:val="0"/>
              <w:overflowPunct w:val="0"/>
              <w:jc w:val="both"/>
              <w:rPr>
                <w:spacing w:val="-6"/>
              </w:rPr>
            </w:pPr>
            <w:r>
              <w:rPr>
                <w:spacing w:val="-6"/>
              </w:rPr>
              <w:t xml:space="preserve">Критерии качества проведения мероприятий </w:t>
            </w:r>
            <w:r>
              <w:t>по тифлосопровождению,  тифлосурдопереводу и межкультурной коммуникации</w:t>
            </w:r>
          </w:p>
        </w:tc>
      </w:tr>
      <w:tr w14:paraId="42C7A056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314272CF">
            <w:pPr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5D3B30AF">
            <w:pPr>
              <w:kinsoku w:val="0"/>
              <w:overflowPunct w:val="0"/>
              <w:jc w:val="both"/>
              <w:rPr>
                <w:spacing w:val="-6"/>
              </w:rPr>
            </w:pPr>
            <w:r>
              <w:rPr>
                <w:spacing w:val="-6"/>
              </w:rPr>
              <w:t xml:space="preserve">Социальное, эмоциональное и психологическое влияние на </w:t>
            </w:r>
            <w:r>
              <w:t>лиц, имеющих одновременное нарушение зрения и слуха (слепоглухих)</w:t>
            </w:r>
          </w:p>
        </w:tc>
      </w:tr>
      <w:tr w14:paraId="11037377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7BDDDA9D">
            <w:pPr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0918A1CA">
            <w:pPr>
              <w:pStyle w:val="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Алгоритм выполнения предпереводческого и постпереводческого анализа, тифлосурдокомментирования </w:t>
            </w:r>
          </w:p>
        </w:tc>
      </w:tr>
      <w:tr w14:paraId="6A1C6268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4C714EBB">
            <w:pPr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31E6461C">
            <w:pPr>
              <w:pStyle w:val="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предметной области перевода</w:t>
            </w:r>
            <w:r>
              <w:rPr>
                <w:rFonts w:ascii="Times New Roman" w:hAnsi="Times New Roman" w:eastAsia="Arial" w:cs="Times New Roman"/>
                <w:iCs/>
                <w:sz w:val="24"/>
                <w:szCs w:val="24"/>
              </w:rPr>
              <w:t xml:space="preserve"> </w:t>
            </w:r>
          </w:p>
        </w:tc>
      </w:tr>
      <w:tr w14:paraId="4DA045C9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19" w:type="pct"/>
            <w:vMerge w:val="continue"/>
          </w:tcPr>
          <w:p w14:paraId="5DF81F7F">
            <w:pPr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12DD44AC">
            <w:pPr>
              <w:pStyle w:val="70"/>
              <w:spacing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>
              <w:rPr>
                <w:rStyle w:val="16"/>
                <w:rFonts w:ascii="Times New Roman" w:hAnsi="Times New Roman"/>
                <w:b w:val="0"/>
                <w:i w:val="0"/>
                <w:sz w:val="24"/>
                <w:szCs w:val="24"/>
              </w:rPr>
              <w:t>Ведущие отраслевые практики и прикладные инновации</w:t>
            </w:r>
          </w:p>
        </w:tc>
      </w:tr>
      <w:tr w14:paraId="00C3F1E4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  <w:vMerge w:val="continue"/>
          </w:tcPr>
          <w:p w14:paraId="18A21EEB">
            <w:pPr>
              <w:rPr>
                <w:bCs/>
                <w:szCs w:val="20"/>
              </w:rPr>
            </w:pPr>
          </w:p>
        </w:tc>
        <w:tc>
          <w:tcPr>
            <w:tcW w:w="3880" w:type="pct"/>
          </w:tcPr>
          <w:p w14:paraId="1E88CA41">
            <w:pPr>
              <w:pStyle w:val="70"/>
              <w:spacing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этика и основы делового общения</w:t>
            </w:r>
          </w:p>
        </w:tc>
      </w:tr>
      <w:tr w14:paraId="326421ED">
        <w:tblPrEx>
          <w:tblBorders>
            <w:top w:val="single" w:color="7F7F7F" w:sz="2" w:space="0"/>
            <w:left w:val="single" w:color="7F7F7F" w:sz="2" w:space="0"/>
            <w:bottom w:val="single" w:color="7F7F7F" w:sz="2" w:space="0"/>
            <w:right w:val="single" w:color="7F7F7F" w:sz="2" w:space="0"/>
            <w:insideH w:val="single" w:color="7F7F7F" w:sz="2" w:space="0"/>
            <w:insideV w:val="single" w:color="7F7F7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19" w:type="pct"/>
          </w:tcPr>
          <w:p w14:paraId="782355DF">
            <w:pPr>
              <w:widowControl w:val="0"/>
              <w:rPr>
                <w:bCs/>
                <w:szCs w:val="20"/>
              </w:rPr>
            </w:pPr>
            <w:r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80" w:type="pct"/>
          </w:tcPr>
          <w:p w14:paraId="7EA245FE">
            <w:pPr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</w:tbl>
    <w:p w14:paraId="1E1C07C9"/>
    <w:p w14:paraId="7B6FAAED">
      <w:pPr>
        <w:pStyle w:val="2"/>
      </w:pPr>
      <w:bookmarkStart w:id="6" w:name="_Toc143792673"/>
      <w:r>
        <w:rPr>
          <w:lang w:val="en-US"/>
        </w:rPr>
        <w:t>IV</w:t>
      </w:r>
      <w:r>
        <w:t>. Сведения об организациях – разработчиках профессионального стандарта</w:t>
      </w:r>
      <w:bookmarkEnd w:id="6"/>
    </w:p>
    <w:p w14:paraId="05FD4DDF"/>
    <w:p w14:paraId="61A11C95">
      <w:pPr>
        <w:rPr>
          <w:b/>
        </w:rPr>
      </w:pPr>
      <w:r>
        <w:rPr>
          <w:b/>
          <w:szCs w:val="24"/>
          <w:lang w:val="en-US"/>
        </w:rPr>
        <w:t>4.1.</w:t>
      </w:r>
      <w:r>
        <w:rPr>
          <w:b/>
          <w:szCs w:val="24"/>
        </w:rPr>
        <w:t xml:space="preserve"> Ответственная организация-разработчик</w:t>
      </w:r>
    </w:p>
    <w:p w14:paraId="7CD25F49"/>
    <w:tbl>
      <w:tblPr>
        <w:tblStyle w:val="12"/>
        <w:tblW w:w="5000" w:type="pct"/>
        <w:tblInd w:w="2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22"/>
      </w:tblGrid>
      <w:tr w14:paraId="30F8A6E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421" w:type="dxa"/>
            <w:tcBorders>
              <w:top w:val="single" w:color="7F7F7F" w:sz="4" w:space="0"/>
              <w:left w:val="single" w:color="808080" w:sz="2" w:space="0"/>
              <w:bottom w:val="single" w:color="7F7F7F" w:sz="4" w:space="0"/>
              <w:right w:val="single" w:color="7F7F7F" w:sz="4" w:space="0"/>
            </w:tcBorders>
          </w:tcPr>
          <w:p w14:paraId="2D9E6796">
            <w:pPr>
              <w:pStyle w:val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ОООИ "Всероссийское общество глухих", город Москва</w:t>
            </w:r>
          </w:p>
        </w:tc>
      </w:tr>
      <w:tr w14:paraId="6A24AF4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421" w:type="dxa"/>
            <w:tcBorders>
              <w:top w:val="single" w:color="7F7F7F" w:sz="4" w:space="0"/>
              <w:left w:val="single" w:color="808080" w:sz="2" w:space="0"/>
              <w:bottom w:val="single" w:color="7F7F7F" w:sz="4" w:space="0"/>
              <w:right w:val="single" w:color="7F7F7F" w:sz="4" w:space="0"/>
            </w:tcBorders>
          </w:tcPr>
          <w:p w14:paraId="4E27DBB6">
            <w:pPr>
              <w:pStyle w:val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Президент                                                             Бочков Александр Александрович</w:t>
            </w:r>
          </w:p>
        </w:tc>
      </w:tr>
    </w:tbl>
    <w:p w14:paraId="1C643E29"/>
    <w:p w14:paraId="4CB173CD">
      <w:pPr>
        <w:rPr>
          <w:b/>
        </w:rPr>
      </w:pPr>
      <w:r>
        <w:rPr>
          <w:b/>
          <w:szCs w:val="24"/>
          <w:lang w:val="en-US"/>
        </w:rPr>
        <w:t>4.2.</w:t>
      </w:r>
      <w:r>
        <w:rPr>
          <w:b/>
          <w:szCs w:val="24"/>
        </w:rPr>
        <w:t xml:space="preserve"> Наименования организаций-разработчиков</w:t>
      </w:r>
    </w:p>
    <w:p w14:paraId="4EB44F32"/>
    <w:tbl>
      <w:tblPr>
        <w:tblStyle w:val="12"/>
        <w:tblW w:w="4394" w:type="pct"/>
        <w:tblInd w:w="2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"/>
        <w:gridCol w:w="8630"/>
      </w:tblGrid>
      <w:tr w14:paraId="652B2E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9" w:type="pct"/>
            <w:tcBorders>
              <w:top w:val="single" w:color="7F7F7F" w:sz="4" w:space="0"/>
              <w:left w:val="single" w:color="808080" w:sz="2" w:space="0"/>
              <w:bottom w:val="single" w:color="auto" w:sz="4" w:space="0"/>
              <w:right w:val="single" w:color="auto" w:sz="4" w:space="0"/>
            </w:tcBorders>
          </w:tcPr>
          <w:p w14:paraId="764F1531">
            <w:pPr>
              <w:pStyle w:val="64"/>
              <w:numPr>
                <w:ilvl w:val="0"/>
                <w:numId w:val="1"/>
              </w:numPr>
              <w:rPr>
                <w:szCs w:val="20"/>
              </w:rPr>
            </w:pPr>
          </w:p>
        </w:tc>
        <w:tc>
          <w:tcPr>
            <w:tcW w:w="47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ECE572">
            <w:pPr>
              <w:pStyle w:val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Ассоциация переводчиков жестового языка, город Москва</w:t>
            </w:r>
          </w:p>
        </w:tc>
      </w:tr>
      <w:tr w14:paraId="29380C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9" w:type="pct"/>
            <w:tcBorders>
              <w:top w:val="single" w:color="auto" w:sz="4" w:space="0"/>
              <w:left w:val="single" w:color="808080" w:sz="2" w:space="0"/>
              <w:bottom w:val="single" w:color="auto" w:sz="4" w:space="0"/>
              <w:right w:val="single" w:color="auto" w:sz="4" w:space="0"/>
            </w:tcBorders>
          </w:tcPr>
          <w:p w14:paraId="44B495F0">
            <w:pPr>
              <w:pStyle w:val="64"/>
              <w:numPr>
                <w:ilvl w:val="0"/>
                <w:numId w:val="1"/>
              </w:numPr>
              <w:rPr>
                <w:szCs w:val="20"/>
              </w:rPr>
            </w:pPr>
          </w:p>
        </w:tc>
        <w:tc>
          <w:tcPr>
            <w:tcW w:w="47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E8EF7A">
            <w:pPr>
              <w:pStyle w:val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«Национальный центр оценки квалификации и стандартизации», город Москва</w:t>
            </w:r>
          </w:p>
        </w:tc>
      </w:tr>
      <w:tr w14:paraId="60E61CD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9" w:type="pct"/>
            <w:tcBorders>
              <w:top w:val="single" w:color="auto" w:sz="4" w:space="0"/>
              <w:left w:val="single" w:color="808080" w:sz="2" w:space="0"/>
              <w:bottom w:val="single" w:color="auto" w:sz="4" w:space="0"/>
              <w:right w:val="single" w:color="auto" w:sz="4" w:space="0"/>
            </w:tcBorders>
          </w:tcPr>
          <w:p w14:paraId="6648AF16">
            <w:pPr>
              <w:pStyle w:val="64"/>
              <w:numPr>
                <w:ilvl w:val="0"/>
                <w:numId w:val="1"/>
              </w:numPr>
              <w:rPr>
                <w:szCs w:val="20"/>
              </w:rPr>
            </w:pPr>
          </w:p>
        </w:tc>
        <w:tc>
          <w:tcPr>
            <w:tcW w:w="47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71C6D9">
            <w:pPr>
              <w:pStyle w:val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БАНО попечения о слепоглухих и людей с синдромом Ушера «Ушер-Форум», город Москва</w:t>
            </w:r>
          </w:p>
        </w:tc>
      </w:tr>
      <w:tr w14:paraId="302739A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9" w:type="pct"/>
            <w:tcBorders>
              <w:top w:val="single" w:color="auto" w:sz="4" w:space="0"/>
              <w:left w:val="single" w:color="808080" w:sz="2" w:space="0"/>
              <w:bottom w:val="single" w:color="auto" w:sz="4" w:space="0"/>
              <w:right w:val="single" w:color="auto" w:sz="4" w:space="0"/>
            </w:tcBorders>
          </w:tcPr>
          <w:p w14:paraId="76EE46AA">
            <w:pPr>
              <w:pStyle w:val="64"/>
              <w:numPr>
                <w:ilvl w:val="0"/>
                <w:numId w:val="1"/>
              </w:numPr>
              <w:rPr>
                <w:szCs w:val="20"/>
              </w:rPr>
            </w:pPr>
          </w:p>
        </w:tc>
        <w:tc>
          <w:tcPr>
            <w:tcW w:w="47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19D5AE">
            <w:pPr>
              <w:pStyle w:val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БФ "Фонд поддержки слепоглухих "Со-единение", город Москва</w:t>
            </w:r>
          </w:p>
        </w:tc>
      </w:tr>
      <w:tr w14:paraId="6B8DB2C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9" w:type="pct"/>
            <w:tcBorders>
              <w:top w:val="single" w:color="auto" w:sz="4" w:space="0"/>
              <w:left w:val="single" w:color="808080" w:sz="2" w:space="0"/>
              <w:bottom w:val="single" w:color="auto" w:sz="4" w:space="0"/>
              <w:right w:val="single" w:color="auto" w:sz="4" w:space="0"/>
            </w:tcBorders>
          </w:tcPr>
          <w:p w14:paraId="6BDC3D92">
            <w:pPr>
              <w:pStyle w:val="64"/>
              <w:numPr>
                <w:ilvl w:val="0"/>
                <w:numId w:val="1"/>
              </w:numPr>
              <w:rPr>
                <w:szCs w:val="20"/>
              </w:rPr>
            </w:pPr>
          </w:p>
        </w:tc>
        <w:tc>
          <w:tcPr>
            <w:tcW w:w="47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32EBD1">
            <w:pPr>
              <w:pStyle w:val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МООИ Общество социальной поддержки слепоглухих "Эльвира", город Москва</w:t>
            </w:r>
          </w:p>
        </w:tc>
      </w:tr>
      <w:tr w14:paraId="6B0503E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9" w:type="pct"/>
            <w:tcBorders>
              <w:top w:val="single" w:color="auto" w:sz="4" w:space="0"/>
              <w:left w:val="single" w:color="808080" w:sz="2" w:space="0"/>
              <w:bottom w:val="single" w:color="auto" w:sz="4" w:space="0"/>
              <w:right w:val="single" w:color="auto" w:sz="4" w:space="0"/>
            </w:tcBorders>
          </w:tcPr>
          <w:p w14:paraId="264F5717">
            <w:pPr>
              <w:pStyle w:val="64"/>
              <w:numPr>
                <w:ilvl w:val="0"/>
                <w:numId w:val="1"/>
              </w:numPr>
              <w:rPr>
                <w:szCs w:val="20"/>
              </w:rPr>
            </w:pPr>
          </w:p>
        </w:tc>
        <w:tc>
          <w:tcPr>
            <w:tcW w:w="47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CCE1F3">
            <w:pPr>
              <w:pStyle w:val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НОЧУ ДПО «Учебно-методический центр ВОГ», город Москва</w:t>
            </w:r>
          </w:p>
        </w:tc>
      </w:tr>
      <w:tr w14:paraId="784801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9" w:type="pct"/>
            <w:tcBorders>
              <w:top w:val="single" w:color="auto" w:sz="4" w:space="0"/>
              <w:left w:val="single" w:color="808080" w:sz="2" w:space="0"/>
              <w:bottom w:val="single" w:color="auto" w:sz="4" w:space="0"/>
              <w:right w:val="single" w:color="auto" w:sz="4" w:space="0"/>
            </w:tcBorders>
          </w:tcPr>
          <w:p w14:paraId="23EA2890">
            <w:pPr>
              <w:pStyle w:val="64"/>
              <w:numPr>
                <w:ilvl w:val="0"/>
                <w:numId w:val="1"/>
              </w:numPr>
              <w:rPr>
                <w:szCs w:val="20"/>
              </w:rPr>
            </w:pPr>
          </w:p>
        </w:tc>
        <w:tc>
          <w:tcPr>
            <w:tcW w:w="47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22D4BB">
            <w:pPr>
              <w:pStyle w:val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«Мобильное электронное образование», город Москва</w:t>
            </w:r>
          </w:p>
        </w:tc>
      </w:tr>
      <w:tr w14:paraId="16732D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9" w:type="pct"/>
            <w:tcBorders>
              <w:top w:val="single" w:color="auto" w:sz="4" w:space="0"/>
              <w:left w:val="single" w:color="808080" w:sz="2" w:space="0"/>
              <w:bottom w:val="single" w:color="auto" w:sz="4" w:space="0"/>
              <w:right w:val="single" w:color="auto" w:sz="4" w:space="0"/>
            </w:tcBorders>
          </w:tcPr>
          <w:p w14:paraId="4C69B2FD">
            <w:pPr>
              <w:pStyle w:val="64"/>
              <w:numPr>
                <w:ilvl w:val="0"/>
                <w:numId w:val="1"/>
              </w:numPr>
              <w:rPr>
                <w:szCs w:val="20"/>
              </w:rPr>
            </w:pPr>
          </w:p>
        </w:tc>
        <w:tc>
          <w:tcPr>
            <w:tcW w:w="47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B9CADB">
            <w:pPr>
              <w:pStyle w:val="6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СПК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в сфере безопасности труда, социальной защиты и занятости населения</w:t>
            </w:r>
          </w:p>
        </w:tc>
      </w:tr>
      <w:tr w14:paraId="75BEC9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9" w:type="pct"/>
            <w:tcBorders>
              <w:top w:val="single" w:color="auto" w:sz="4" w:space="0"/>
              <w:left w:val="single" w:color="808080" w:sz="2" w:space="0"/>
              <w:bottom w:val="single" w:color="auto" w:sz="4" w:space="0"/>
              <w:right w:val="single" w:color="auto" w:sz="4" w:space="0"/>
            </w:tcBorders>
          </w:tcPr>
          <w:p w14:paraId="4E6E1F9E">
            <w:pPr>
              <w:pStyle w:val="64"/>
              <w:numPr>
                <w:ilvl w:val="0"/>
                <w:numId w:val="1"/>
              </w:numPr>
              <w:rPr>
                <w:szCs w:val="20"/>
              </w:rPr>
            </w:pPr>
          </w:p>
        </w:tc>
        <w:tc>
          <w:tcPr>
            <w:tcW w:w="47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BA50E9">
            <w:pPr>
              <w:pStyle w:val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ФГБУ «ВНИИ труда» Минтруда России, город Москва</w:t>
            </w:r>
          </w:p>
        </w:tc>
      </w:tr>
      <w:tr w14:paraId="753AA2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9" w:type="pct"/>
            <w:tcBorders>
              <w:top w:val="single" w:color="auto" w:sz="4" w:space="0"/>
              <w:left w:val="single" w:color="808080" w:sz="2" w:space="0"/>
              <w:bottom w:val="single" w:color="auto" w:sz="4" w:space="0"/>
              <w:right w:val="single" w:color="auto" w:sz="4" w:space="0"/>
            </w:tcBorders>
          </w:tcPr>
          <w:p w14:paraId="35D262F2">
            <w:pPr>
              <w:pStyle w:val="64"/>
              <w:numPr>
                <w:ilvl w:val="0"/>
                <w:numId w:val="1"/>
              </w:numPr>
              <w:rPr>
                <w:szCs w:val="20"/>
              </w:rPr>
            </w:pPr>
          </w:p>
        </w:tc>
        <w:tc>
          <w:tcPr>
            <w:tcW w:w="47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2A9FA0">
            <w:pPr>
              <w:pStyle w:val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ВО «НГТУ», город Новосибирск</w:t>
            </w:r>
          </w:p>
        </w:tc>
      </w:tr>
      <w:tr w14:paraId="06C9284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89" w:type="pct"/>
            <w:tcBorders>
              <w:top w:val="single" w:color="auto" w:sz="4" w:space="0"/>
              <w:left w:val="single" w:color="808080" w:sz="2" w:space="0"/>
              <w:bottom w:val="single" w:color="auto" w:sz="4" w:space="0"/>
              <w:right w:val="single" w:color="auto" w:sz="4" w:space="0"/>
            </w:tcBorders>
          </w:tcPr>
          <w:p w14:paraId="6076F551">
            <w:pPr>
              <w:pStyle w:val="64"/>
              <w:numPr>
                <w:ilvl w:val="0"/>
                <w:numId w:val="1"/>
              </w:numPr>
              <w:rPr>
                <w:szCs w:val="20"/>
              </w:rPr>
            </w:pPr>
          </w:p>
        </w:tc>
        <w:tc>
          <w:tcPr>
            <w:tcW w:w="471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EAE10D9">
            <w:pPr>
              <w:pStyle w:val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ВО «РГСУ», город Москва</w:t>
            </w:r>
          </w:p>
        </w:tc>
      </w:tr>
    </w:tbl>
    <w:p w14:paraId="46867989"/>
    <w:p w14:paraId="2FF15CC1">
      <w:pPr>
        <w:pStyle w:val="2"/>
      </w:pPr>
      <w:bookmarkStart w:id="7" w:name="_Toc143792674"/>
      <w:r>
        <w:rPr>
          <w:lang w:val="en-US"/>
        </w:rPr>
        <w:t>V</w:t>
      </w:r>
      <w:r>
        <w:t>. Сокращения, используемые в профессиональном стандарте</w:t>
      </w:r>
      <w:bookmarkEnd w:id="7"/>
    </w:p>
    <w:p w14:paraId="4DA8C298"/>
    <w:p w14:paraId="4BB63E43">
      <w:pPr>
        <w:rPr>
          <w:color w:val="auto"/>
        </w:rPr>
      </w:pPr>
      <w:r>
        <w:rPr>
          <w:color w:val="auto"/>
        </w:rPr>
        <w:t xml:space="preserve">АДК - </w:t>
      </w:r>
      <w:r>
        <w:rPr>
          <w:rFonts w:eastAsia="Arial"/>
          <w:color w:val="auto"/>
          <w:shd w:val="clear" w:color="auto" w:fill="FFFFFF"/>
        </w:rPr>
        <w:t>альтернативная и дополнительная коммуникация</w:t>
      </w:r>
    </w:p>
    <w:p w14:paraId="2434A465">
      <w:pPr>
        <w:rPr>
          <w:color w:val="auto"/>
        </w:rPr>
      </w:pPr>
      <w:r>
        <w:rPr>
          <w:color w:val="auto"/>
        </w:rPr>
        <w:t>ТСР - технические средства реабилитации</w:t>
      </w:r>
    </w:p>
    <w:p w14:paraId="577D6DED"/>
    <w:sectPr>
      <w:endnotePr>
        <w:numFmt w:val="decimal"/>
      </w:endnotePr>
      <w:pgSz w:w="11906" w:h="16838"/>
      <w:pgMar w:top="1138" w:right="562" w:bottom="1138" w:left="1138" w:header="567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16">
    <w:p>
      <w:r>
        <w:separator/>
      </w:r>
    </w:p>
  </w:endnote>
  <w:endnote w:type="continuationSeparator" w:id="17">
    <w:p>
      <w:r>
        <w:continuationSeparator/>
      </w:r>
    </w:p>
  </w:endnote>
  <w:endnote w:id="0">
    <w:p w14:paraId="6AD99FC6">
      <w:pPr>
        <w:pStyle w:val="21"/>
      </w:pPr>
      <w:r>
        <w:rPr>
          <w:sz w:val="22"/>
          <w:vertAlign w:val="superscript"/>
        </w:rPr>
        <w:endnoteRef/>
      </w:r>
      <w:r>
        <w:t xml:space="preserve"> Общероссийский классификатор занятий.</w:t>
      </w:r>
    </w:p>
  </w:endnote>
  <w:endnote w:id="1">
    <w:p w14:paraId="39D350B6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0"/>
          <w:szCs w:val="20"/>
        </w:rPr>
      </w:pPr>
      <w:r>
        <w:rPr>
          <w:sz w:val="22"/>
          <w:vertAlign w:val="superscript"/>
        </w:rPr>
        <w:endnoteRef/>
      </w:r>
      <w:r>
        <w:t xml:space="preserve"> </w:t>
      </w:r>
      <w:r>
        <w:rPr>
          <w:rFonts w:asciiTheme="majorBidi" w:hAnsiTheme="majorBidi" w:cstheme="majorBidi"/>
          <w:sz w:val="20"/>
          <w:szCs w:val="20"/>
          <w:shd w:val="clear" w:color="auto" w:fill="FFFFFF"/>
        </w:rPr>
        <w:t>Приказ Министерства труда и социальной защиты Российской Федерации от 29 сентября 2014 г. № 667н «О реестре профессиональных стандартов (перечне видов профессиональной деятельности)» (за</w:t>
      </w:r>
      <w:r>
        <w:rPr>
          <w:rFonts w:asciiTheme="majorBidi" w:hAnsiTheme="majorBidi" w:cstheme="majorBidi"/>
          <w:sz w:val="20"/>
          <w:szCs w:val="20"/>
          <w:lang w:bidi="he-IL"/>
        </w:rPr>
        <w:t xml:space="preserve">регистрирован </w:t>
      </w:r>
      <w:r>
        <w:rPr>
          <w:rFonts w:asciiTheme="majorBidi" w:hAnsiTheme="majorBidi" w:cstheme="majorBidi"/>
          <w:sz w:val="20"/>
          <w:szCs w:val="20"/>
        </w:rPr>
        <w:t xml:space="preserve">Министерством юстиции Российской Федерации </w:t>
      </w:r>
      <w:r>
        <w:rPr>
          <w:rFonts w:asciiTheme="majorBidi" w:hAnsiTheme="majorBidi" w:cstheme="majorBidi"/>
          <w:sz w:val="20"/>
          <w:szCs w:val="20"/>
          <w:lang w:bidi="he-IL"/>
        </w:rPr>
        <w:t xml:space="preserve">19 ноября 2014 г., </w:t>
      </w:r>
      <w:r>
        <w:rPr>
          <w:sz w:val="20"/>
          <w:szCs w:val="20"/>
          <w:lang w:bidi="he-IL"/>
        </w:rPr>
        <w:t>регистрационный</w:t>
      </w:r>
      <w:r>
        <w:rPr>
          <w:rFonts w:asciiTheme="majorBidi" w:hAnsiTheme="majorBidi" w:cstheme="majorBidi"/>
          <w:sz w:val="20"/>
          <w:szCs w:val="20"/>
          <w:lang w:bidi="he-IL"/>
        </w:rPr>
        <w:t xml:space="preserve"> № 34779) с изменением, внесенным приказом </w:t>
      </w:r>
      <w:r>
        <w:rPr>
          <w:rFonts w:asciiTheme="majorBidi" w:hAnsiTheme="majorBidi" w:cstheme="majorBidi"/>
          <w:sz w:val="20"/>
          <w:szCs w:val="20"/>
          <w:shd w:val="clear" w:color="auto" w:fill="FFFFFF"/>
        </w:rPr>
        <w:t>Министерства труда и социальной защиты Российской Федерации от 9 марта 2017 г. № 254н (зарегистрирован Министерством юстиции Российской Федерации 29 марта 2017 г., регистрационный № 46168).</w:t>
      </w:r>
    </w:p>
  </w:endnote>
  <w:endnote w:id="2">
    <w:p w14:paraId="7ACC319A">
      <w:pPr>
        <w:pStyle w:val="25"/>
        <w:ind w:left="180" w:hanging="180"/>
        <w:jc w:val="both"/>
        <w:rPr>
          <w:lang w:eastAsia="ru-RU"/>
        </w:rPr>
      </w:pPr>
      <w:r>
        <w:rPr>
          <w:sz w:val="22"/>
          <w:vertAlign w:val="superscript"/>
        </w:rPr>
        <w:endnoteRef/>
      </w:r>
      <w:r>
        <w:rPr>
          <w:lang w:eastAsia="ru-RU"/>
        </w:rPr>
        <w:t xml:space="preserve"> Общероссийский классификатор видов экономической деятельности.</w:t>
      </w:r>
    </w:p>
  </w:endnote>
  <w:endnote w:id="3">
    <w:p w14:paraId="0697D8D6">
      <w:pPr>
        <w:pStyle w:val="21"/>
      </w:pPr>
      <w:r>
        <w:rPr>
          <w:rStyle w:val="69"/>
          <w:rFonts w:ascii="Liberation Serif" w:hAnsi="Liberation Serif"/>
        </w:rPr>
        <w:endnoteRef/>
      </w:r>
      <w:r>
        <w:t xml:space="preserve"> Постановление Правительства Российской Федерации от 24 декабря 2021 г. № 2464 «О порядке обучения по охране труда и проверки знания требований охраны труда», действует до 1 сентября 2026 г.</w:t>
      </w:r>
    </w:p>
  </w:endnote>
  <w:endnote w:id="4">
    <w:p w14:paraId="0A662ED6">
      <w:pPr>
        <w:pStyle w:val="21"/>
      </w:pPr>
      <w:r>
        <w:rPr>
          <w:sz w:val="22"/>
          <w:vertAlign w:val="superscript"/>
        </w:rPr>
        <w:endnoteRef/>
      </w:r>
      <w:r>
        <w:t xml:space="preserve"> Единый квалификационный справочник должностей руководителей, специалистов и служащих.</w:t>
      </w:r>
    </w:p>
  </w:endnote>
  <w:endnote w:id="5">
    <w:p w14:paraId="0D1F77D9">
      <w:pPr>
        <w:pStyle w:val="21"/>
      </w:pPr>
      <w:r>
        <w:rPr>
          <w:rStyle w:val="15"/>
        </w:rPr>
        <w:endnoteRef/>
      </w:r>
      <w:r>
        <w:t xml:space="preserve"> Общероссийский классификатор профессий рабочих, должностей служащих и тарифных разрядов.</w:t>
      </w:r>
    </w:p>
  </w:endnote>
  <w:endnote w:id="6">
    <w:p w14:paraId="0B458AD7">
      <w:pPr>
        <w:pStyle w:val="21"/>
      </w:pPr>
      <w:r>
        <w:rPr>
          <w:vertAlign w:val="superscript"/>
        </w:rPr>
        <w:endnoteRef/>
      </w:r>
      <w:r>
        <w:rPr>
          <w:vertAlign w:val="superscript"/>
        </w:rPr>
        <w:t xml:space="preserve"> </w:t>
      </w:r>
      <w:r>
        <w:t xml:space="preserve"> Приказ Министерства просвещения Российской Федерации от 17 мая 2022 г.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образования» (зарегистрирован Министерством юстиции Российской Федерации </w:t>
      </w:r>
      <w:r>
        <w:rPr>
          <w:szCs w:val="20"/>
          <w:lang w:bidi="he-IL"/>
        </w:rPr>
        <w:t xml:space="preserve">17 июня 2022 г., регистрационный № 68887) с изменениями, внесенными приказами </w:t>
      </w:r>
      <w:r>
        <w:t>Министерства просвещения Российской Федерации от 12 мая 2023 г. № 359 (зарегистрирован Министерством юстиции Российской Федерации 9 июня 2023 г.</w:t>
      </w:r>
      <w:r>
        <w:rPr>
          <w:szCs w:val="20"/>
          <w:lang w:bidi="he-IL"/>
        </w:rPr>
        <w:t xml:space="preserve">, регистрационный № </w:t>
      </w:r>
      <w:r>
        <w:t>73797), от 25 сентября 2023 г. № 717 (зарегистрирован Министерством юстиции Российской Федерации 26 октября 2023 г., регистрационный № 75754), от 27 апреля 2024 г. № 289 (зарегистрирован Министерством юстиции Российской Федерации 31 мая 2024 г., регистрационный № 78367).</w:t>
      </w:r>
    </w:p>
  </w:endnote>
  <w:endnote w:id="7">
    <w:p w14:paraId="05EC06C4">
      <w:pPr>
        <w:pStyle w:val="21"/>
      </w:pPr>
      <w:r>
        <w:rPr>
          <w:rStyle w:val="15"/>
        </w:rPr>
        <w:endnoteRef/>
      </w:r>
      <w:r>
        <w:t xml:space="preserve"> Приказ Министерства образования и науки Российской Федерации от 12 сентября 2013 г. № 1061 «Об утверждении перечней специальностей и направлений подготовки высшего образования» (зарегистрирован Министерством юстиции Российской Федерации 14 октября 2013 г., регистрационный № 30163) с изменениями, внесенными приказами Министерства образования и науки Российской Федерации от 29 января 2014 г. № 63 (зарегистрирован Министерством юстиции Российской Федерации 28 февраля 2014 г., регистрационный № 31448), от 20 августа 2014 г. № 1033 (зарегистрирован Министерством юстиции Российской Федерации 3 сентября 2014 г., регистрационный № 33947), </w:t>
      </w:r>
      <w:r>
        <w:br w:type="textWrapping"/>
      </w:r>
      <w:r>
        <w:t xml:space="preserve">от 13 октября 2014 г. № 1313 (зарегистрирован Министерством юстиции Российской Федерации 13 ноября 2014 г., регистрационный № 34691), от 25 марта 2015 г. № 270 (зарегистрирован Министерством юстиции Российской Федерации 22 апреля 2015 г., регистрационный № 36994), от 1 октября 2015 г. № 1080 (зарегистрирован Министерством юстиции Российской Федерации 19 октября 2015 г., регистрационный № 39355), от 1 декабря 2016 г. № 1508 (зарегистрирован Министерством юстиции Российской Федерации 20 декабря 2016 г., регистрационный № 44807), </w:t>
      </w:r>
      <w:r>
        <w:br w:type="textWrapping"/>
      </w:r>
      <w:r>
        <w:t xml:space="preserve">от 10 апреля 2017 г. № 320 (зарегистрирован Министерством юстиции Российской Федерации 10 мая 2017 г., регистрационный № 46662), от 11 апреля 2017 г. № 328 (зарегистрирован Министерством юстиции Российской Федерации 23 июня 2017 г., регистрационный № 47167), от 23 марта 2018 г. № 210 (зарегистрирован Министерством юстиции Российской Федерации 11 апреля 2018 г., регистрационный № 50727), от 30 августа 2019 г. № 664 (зарегистрирован Министерством юстиции Российской Федерации 23 сентября 2019 г., регистрационный № 56026), приказами Министерства науки и высшего образования Российской Федерации от 15 апреля 2021 г. № 296 (зарегистрирован Министерством юстиции Российской Федерации 27 апреля 2021 г., регистрационный № 63245), </w:t>
      </w:r>
      <w:r>
        <w:br w:type="textWrapping"/>
      </w:r>
      <w:r>
        <w:t>от 13 декабря 2021 г. № 1229 (зарегистрирован Министерством юстиции Российской Федерации 13 апреля 2022 г., регистрационный № 68183).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Liberation Serif">
    <w:altName w:val="Times New Roman"/>
    <w:panose1 w:val="00000000000000000000"/>
    <w:charset w:val="CC"/>
    <w:family w:val="roman"/>
    <w:pitch w:val="default"/>
    <w:sig w:usb0="00000000" w:usb1="00000000" w:usb2="00000021" w:usb3="00000000" w:csb0="000001BF" w:csb1="00000000"/>
  </w:font>
  <w:font w:name="Golos Tex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CB1375">
    <w:pPr>
      <w:pStyle w:val="26"/>
      <w:framePr w:wrap="around" w:vAnchor="text" w:hAnchor="margin" w:xAlign="center" w:y="1"/>
      <w:rPr>
        <w:rStyle w:val="18"/>
      </w:rPr>
    </w:pPr>
    <w:r>
      <w:rPr>
        <w:rStyle w:val="18"/>
      </w:rPr>
      <w:fldChar w:fldCharType="begin"/>
    </w:r>
    <w:r>
      <w:rPr>
        <w:rStyle w:val="18"/>
      </w:rPr>
      <w:instrText xml:space="preserve">PAGE  </w:instrText>
    </w:r>
    <w:r>
      <w:rPr>
        <w:rStyle w:val="18"/>
      </w:rPr>
      <w:fldChar w:fldCharType="separate"/>
    </w:r>
    <w:r>
      <w:rPr>
        <w:rStyle w:val="18"/>
      </w:rPr>
      <w:t>2</w:t>
    </w:r>
    <w:r>
      <w:rPr>
        <w:rStyle w:val="18"/>
      </w:rPr>
      <w:fldChar w:fldCharType="end"/>
    </w:r>
  </w:p>
  <w:p w14:paraId="4DB63D81">
    <w:pPr>
      <w:pStyle w:val="26"/>
      <w:jc w:val="center"/>
      <w:rPr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2C60E7">
    <w:pPr>
      <w:pStyle w:val="26"/>
      <w:framePr w:wrap="around" w:vAnchor="text" w:hAnchor="margin" w:xAlign="center" w:y="1"/>
      <w:rPr>
        <w:rStyle w:val="18"/>
      </w:rPr>
    </w:pPr>
    <w:r>
      <w:rPr>
        <w:rStyle w:val="18"/>
      </w:rPr>
      <w:fldChar w:fldCharType="begin"/>
    </w:r>
    <w:r>
      <w:rPr>
        <w:rStyle w:val="18"/>
      </w:rPr>
      <w:instrText xml:space="preserve">PAGE  </w:instrText>
    </w:r>
    <w:r>
      <w:rPr>
        <w:rStyle w:val="18"/>
      </w:rPr>
      <w:fldChar w:fldCharType="end"/>
    </w:r>
  </w:p>
  <w:p w14:paraId="3B8E500A">
    <w:pPr>
      <w:pStyle w:val="2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4CC03E">
    <w:pPr>
      <w:pStyle w:val="26"/>
      <w:jc w:val="center"/>
      <w:rPr>
        <w:sz w:val="20"/>
        <w:szCs w:val="20"/>
      </w:rPr>
    </w:pPr>
    <w:r>
      <w:rPr>
        <w:sz w:val="20"/>
        <w:szCs w:val="20"/>
      </w:rPr>
      <w:t>2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15596344"/>
    </w:sdtPr>
    <w:sdtEndPr>
      <w:rPr>
        <w:rStyle w:val="18"/>
        <w:sz w:val="20"/>
      </w:rPr>
    </w:sdtEndPr>
    <w:sdtContent>
      <w:p w14:paraId="6963AB3D">
        <w:pPr>
          <w:pStyle w:val="26"/>
          <w:jc w:val="center"/>
          <w:rPr>
            <w:rStyle w:val="18"/>
          </w:rPr>
        </w:pPr>
        <w:r>
          <w:rPr>
            <w:rStyle w:val="18"/>
          </w:rPr>
          <w:fldChar w:fldCharType="begin"/>
        </w:r>
        <w:r>
          <w:rPr>
            <w:rStyle w:val="18"/>
          </w:rPr>
          <w:instrText xml:space="preserve">PAGE   \* MERGEFORMAT</w:instrText>
        </w:r>
        <w:r>
          <w:rPr>
            <w:rStyle w:val="18"/>
          </w:rPr>
          <w:fldChar w:fldCharType="separate"/>
        </w:r>
        <w:r>
          <w:rPr>
            <w:rStyle w:val="18"/>
          </w:rPr>
          <w:t>20</w:t>
        </w:r>
        <w:r>
          <w:rPr>
            <w:rStyle w:val="1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A74780"/>
    <w:multiLevelType w:val="multilevel"/>
    <w:tmpl w:val="33A74780"/>
    <w:lvl w:ilvl="0" w:tentative="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NotDisplayPageBoundaries w:val="1"/>
  <w:trackRevisions w:val="1"/>
  <w:documentProtection w:enforcement="0"/>
  <w:defaultTabStop w:val="709"/>
  <w:drawingGridHorizontalSpacing w:val="110"/>
  <w:noPunctuationKerning w:val="1"/>
  <w:characterSpacingControl w:val="doNotCompress"/>
  <w:endnotePr>
    <w:numFmt w:val="decimal"/>
    <w:endnote w:id="16"/>
    <w:endnote w:id="17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2506"/>
    <w:rsid w:val="000059A9"/>
    <w:rsid w:val="000060B8"/>
    <w:rsid w:val="000108E6"/>
    <w:rsid w:val="00011CAB"/>
    <w:rsid w:val="00014209"/>
    <w:rsid w:val="00015728"/>
    <w:rsid w:val="00017B99"/>
    <w:rsid w:val="0002029A"/>
    <w:rsid w:val="00024688"/>
    <w:rsid w:val="00035E36"/>
    <w:rsid w:val="000417FC"/>
    <w:rsid w:val="00045455"/>
    <w:rsid w:val="00046A47"/>
    <w:rsid w:val="00064388"/>
    <w:rsid w:val="0006663A"/>
    <w:rsid w:val="00067607"/>
    <w:rsid w:val="00071543"/>
    <w:rsid w:val="00083205"/>
    <w:rsid w:val="00084FE7"/>
    <w:rsid w:val="00090F10"/>
    <w:rsid w:val="00094518"/>
    <w:rsid w:val="000A1799"/>
    <w:rsid w:val="000B53C0"/>
    <w:rsid w:val="000C2578"/>
    <w:rsid w:val="000D3B5A"/>
    <w:rsid w:val="000D4708"/>
    <w:rsid w:val="000E004C"/>
    <w:rsid w:val="000E450C"/>
    <w:rsid w:val="000F230C"/>
    <w:rsid w:val="000F2F99"/>
    <w:rsid w:val="001175EE"/>
    <w:rsid w:val="00120A27"/>
    <w:rsid w:val="0012250A"/>
    <w:rsid w:val="0012707B"/>
    <w:rsid w:val="00132041"/>
    <w:rsid w:val="00140B27"/>
    <w:rsid w:val="0014601C"/>
    <w:rsid w:val="001501F0"/>
    <w:rsid w:val="0015075B"/>
    <w:rsid w:val="00150946"/>
    <w:rsid w:val="00152B1E"/>
    <w:rsid w:val="00163537"/>
    <w:rsid w:val="00171B89"/>
    <w:rsid w:val="00185469"/>
    <w:rsid w:val="00187845"/>
    <w:rsid w:val="00187BAD"/>
    <w:rsid w:val="00196055"/>
    <w:rsid w:val="001A005D"/>
    <w:rsid w:val="001A1AEB"/>
    <w:rsid w:val="001A1BC6"/>
    <w:rsid w:val="001B5A3F"/>
    <w:rsid w:val="001B67D6"/>
    <w:rsid w:val="001B6B54"/>
    <w:rsid w:val="001C34E1"/>
    <w:rsid w:val="001C4085"/>
    <w:rsid w:val="001D2ABC"/>
    <w:rsid w:val="001D5E99"/>
    <w:rsid w:val="001F2C26"/>
    <w:rsid w:val="001F37DF"/>
    <w:rsid w:val="0020719D"/>
    <w:rsid w:val="00212EA7"/>
    <w:rsid w:val="00220D60"/>
    <w:rsid w:val="00223BE4"/>
    <w:rsid w:val="002243C9"/>
    <w:rsid w:val="00231E42"/>
    <w:rsid w:val="00236BDA"/>
    <w:rsid w:val="0024079C"/>
    <w:rsid w:val="00240C7F"/>
    <w:rsid w:val="002410B5"/>
    <w:rsid w:val="00242396"/>
    <w:rsid w:val="00251F77"/>
    <w:rsid w:val="00260D29"/>
    <w:rsid w:val="0026158F"/>
    <w:rsid w:val="00275852"/>
    <w:rsid w:val="002764C4"/>
    <w:rsid w:val="00283237"/>
    <w:rsid w:val="002846F8"/>
    <w:rsid w:val="00285C92"/>
    <w:rsid w:val="0029282F"/>
    <w:rsid w:val="00293A79"/>
    <w:rsid w:val="002A1D54"/>
    <w:rsid w:val="002A24B7"/>
    <w:rsid w:val="002A7306"/>
    <w:rsid w:val="002B4E76"/>
    <w:rsid w:val="002C346B"/>
    <w:rsid w:val="002C511D"/>
    <w:rsid w:val="002C5707"/>
    <w:rsid w:val="002C69DD"/>
    <w:rsid w:val="002E2EC6"/>
    <w:rsid w:val="002E316D"/>
    <w:rsid w:val="002E469D"/>
    <w:rsid w:val="002E67D2"/>
    <w:rsid w:val="002F4B10"/>
    <w:rsid w:val="003016F8"/>
    <w:rsid w:val="00303A0F"/>
    <w:rsid w:val="00311CF4"/>
    <w:rsid w:val="003130A4"/>
    <w:rsid w:val="00317966"/>
    <w:rsid w:val="00317CFB"/>
    <w:rsid w:val="00320525"/>
    <w:rsid w:val="0032437A"/>
    <w:rsid w:val="003252DE"/>
    <w:rsid w:val="00325397"/>
    <w:rsid w:val="003421EE"/>
    <w:rsid w:val="00342FCF"/>
    <w:rsid w:val="00354422"/>
    <w:rsid w:val="00361381"/>
    <w:rsid w:val="0036174F"/>
    <w:rsid w:val="0036221D"/>
    <w:rsid w:val="00364091"/>
    <w:rsid w:val="003715E9"/>
    <w:rsid w:val="00372088"/>
    <w:rsid w:val="00372B84"/>
    <w:rsid w:val="00372DD4"/>
    <w:rsid w:val="00376ACF"/>
    <w:rsid w:val="003803E8"/>
    <w:rsid w:val="00380EAA"/>
    <w:rsid w:val="00382463"/>
    <w:rsid w:val="00396DE0"/>
    <w:rsid w:val="003A4EFC"/>
    <w:rsid w:val="003A5A72"/>
    <w:rsid w:val="003A6812"/>
    <w:rsid w:val="003B20AC"/>
    <w:rsid w:val="003B566C"/>
    <w:rsid w:val="003B6DA3"/>
    <w:rsid w:val="003C1691"/>
    <w:rsid w:val="003C28D0"/>
    <w:rsid w:val="003C5587"/>
    <w:rsid w:val="003C5AA4"/>
    <w:rsid w:val="003C60CE"/>
    <w:rsid w:val="003D170F"/>
    <w:rsid w:val="003E3199"/>
    <w:rsid w:val="003E44C4"/>
    <w:rsid w:val="003E4F23"/>
    <w:rsid w:val="003E7EC3"/>
    <w:rsid w:val="003E7FDB"/>
    <w:rsid w:val="003F5EB4"/>
    <w:rsid w:val="00401E83"/>
    <w:rsid w:val="00402ADA"/>
    <w:rsid w:val="00402DEB"/>
    <w:rsid w:val="00403A5B"/>
    <w:rsid w:val="00415B13"/>
    <w:rsid w:val="00415BF6"/>
    <w:rsid w:val="00426B78"/>
    <w:rsid w:val="00432E64"/>
    <w:rsid w:val="00434609"/>
    <w:rsid w:val="0043555F"/>
    <w:rsid w:val="00441E0E"/>
    <w:rsid w:val="00444B46"/>
    <w:rsid w:val="00444BB8"/>
    <w:rsid w:val="00451E97"/>
    <w:rsid w:val="0045414D"/>
    <w:rsid w:val="00457F8C"/>
    <w:rsid w:val="004640BA"/>
    <w:rsid w:val="00465EB0"/>
    <w:rsid w:val="0047447C"/>
    <w:rsid w:val="00475DBD"/>
    <w:rsid w:val="004768A8"/>
    <w:rsid w:val="00483300"/>
    <w:rsid w:val="00483682"/>
    <w:rsid w:val="0048530B"/>
    <w:rsid w:val="00487032"/>
    <w:rsid w:val="004871C5"/>
    <w:rsid w:val="00497A21"/>
    <w:rsid w:val="004A3377"/>
    <w:rsid w:val="004A4128"/>
    <w:rsid w:val="004A435D"/>
    <w:rsid w:val="004A5AF6"/>
    <w:rsid w:val="004B4F31"/>
    <w:rsid w:val="004B72C6"/>
    <w:rsid w:val="004C107E"/>
    <w:rsid w:val="004C2545"/>
    <w:rsid w:val="004C7D8F"/>
    <w:rsid w:val="004D0595"/>
    <w:rsid w:val="004D1D32"/>
    <w:rsid w:val="004D347C"/>
    <w:rsid w:val="004E0142"/>
    <w:rsid w:val="004E4257"/>
    <w:rsid w:val="004F1359"/>
    <w:rsid w:val="004F32EB"/>
    <w:rsid w:val="004F540E"/>
    <w:rsid w:val="004F7B52"/>
    <w:rsid w:val="005058E5"/>
    <w:rsid w:val="00510C8D"/>
    <w:rsid w:val="00515F8F"/>
    <w:rsid w:val="00520A10"/>
    <w:rsid w:val="00527023"/>
    <w:rsid w:val="00532213"/>
    <w:rsid w:val="00532EE3"/>
    <w:rsid w:val="0053354D"/>
    <w:rsid w:val="005349E4"/>
    <w:rsid w:val="0054209C"/>
    <w:rsid w:val="0054266C"/>
    <w:rsid w:val="00555122"/>
    <w:rsid w:val="00556050"/>
    <w:rsid w:val="00556327"/>
    <w:rsid w:val="00557608"/>
    <w:rsid w:val="005646F9"/>
    <w:rsid w:val="0057038E"/>
    <w:rsid w:val="00571128"/>
    <w:rsid w:val="00576061"/>
    <w:rsid w:val="005809D7"/>
    <w:rsid w:val="00583215"/>
    <w:rsid w:val="005841C4"/>
    <w:rsid w:val="0058440D"/>
    <w:rsid w:val="0058613C"/>
    <w:rsid w:val="00590F63"/>
    <w:rsid w:val="00594C28"/>
    <w:rsid w:val="005A0329"/>
    <w:rsid w:val="005A0E74"/>
    <w:rsid w:val="005A19E9"/>
    <w:rsid w:val="005A4202"/>
    <w:rsid w:val="005B3E63"/>
    <w:rsid w:val="005B4EF4"/>
    <w:rsid w:val="005C25DE"/>
    <w:rsid w:val="005C4ABE"/>
    <w:rsid w:val="005D0DAE"/>
    <w:rsid w:val="005D0E2E"/>
    <w:rsid w:val="005D32D2"/>
    <w:rsid w:val="005F3A51"/>
    <w:rsid w:val="005F534F"/>
    <w:rsid w:val="005F64C1"/>
    <w:rsid w:val="00605AC9"/>
    <w:rsid w:val="006154FE"/>
    <w:rsid w:val="00622078"/>
    <w:rsid w:val="0063076A"/>
    <w:rsid w:val="00630C3B"/>
    <w:rsid w:val="00631323"/>
    <w:rsid w:val="00631F70"/>
    <w:rsid w:val="00637A85"/>
    <w:rsid w:val="00644F78"/>
    <w:rsid w:val="00645A09"/>
    <w:rsid w:val="00657D69"/>
    <w:rsid w:val="00666A88"/>
    <w:rsid w:val="00681B98"/>
    <w:rsid w:val="0068202A"/>
    <w:rsid w:val="006959D5"/>
    <w:rsid w:val="006A598F"/>
    <w:rsid w:val="006A5AE5"/>
    <w:rsid w:val="006B311E"/>
    <w:rsid w:val="006B5466"/>
    <w:rsid w:val="006B5E41"/>
    <w:rsid w:val="006B7E1C"/>
    <w:rsid w:val="006C0FE8"/>
    <w:rsid w:val="006C32B4"/>
    <w:rsid w:val="006C7D2B"/>
    <w:rsid w:val="006D1DE2"/>
    <w:rsid w:val="006D26AA"/>
    <w:rsid w:val="006E1770"/>
    <w:rsid w:val="00706F8D"/>
    <w:rsid w:val="00717AED"/>
    <w:rsid w:val="00717B28"/>
    <w:rsid w:val="00720502"/>
    <w:rsid w:val="0072336E"/>
    <w:rsid w:val="0072352F"/>
    <w:rsid w:val="007312FB"/>
    <w:rsid w:val="00745B5B"/>
    <w:rsid w:val="00755C20"/>
    <w:rsid w:val="00756F9E"/>
    <w:rsid w:val="00760102"/>
    <w:rsid w:val="00764A04"/>
    <w:rsid w:val="00771679"/>
    <w:rsid w:val="00771A3D"/>
    <w:rsid w:val="007721EA"/>
    <w:rsid w:val="00786386"/>
    <w:rsid w:val="007867BC"/>
    <w:rsid w:val="007875B6"/>
    <w:rsid w:val="00791C8C"/>
    <w:rsid w:val="00792066"/>
    <w:rsid w:val="00796E1E"/>
    <w:rsid w:val="007A3758"/>
    <w:rsid w:val="007A65E8"/>
    <w:rsid w:val="007B0A93"/>
    <w:rsid w:val="007B2B5F"/>
    <w:rsid w:val="007C0B07"/>
    <w:rsid w:val="007C4E3A"/>
    <w:rsid w:val="007D28C2"/>
    <w:rsid w:val="007D3CCD"/>
    <w:rsid w:val="007E7C6C"/>
    <w:rsid w:val="007F22DD"/>
    <w:rsid w:val="007F73DF"/>
    <w:rsid w:val="008013A5"/>
    <w:rsid w:val="008045CB"/>
    <w:rsid w:val="00807D95"/>
    <w:rsid w:val="00817EB7"/>
    <w:rsid w:val="008313C2"/>
    <w:rsid w:val="00833300"/>
    <w:rsid w:val="00834BAD"/>
    <w:rsid w:val="008400C9"/>
    <w:rsid w:val="0085401D"/>
    <w:rsid w:val="00861917"/>
    <w:rsid w:val="0087541B"/>
    <w:rsid w:val="008839DA"/>
    <w:rsid w:val="00895439"/>
    <w:rsid w:val="00896588"/>
    <w:rsid w:val="008B0D15"/>
    <w:rsid w:val="008C2564"/>
    <w:rsid w:val="008C3688"/>
    <w:rsid w:val="008C5AD2"/>
    <w:rsid w:val="008C6B99"/>
    <w:rsid w:val="008D0B17"/>
    <w:rsid w:val="008D14A2"/>
    <w:rsid w:val="008D4472"/>
    <w:rsid w:val="008D6DB4"/>
    <w:rsid w:val="008E6979"/>
    <w:rsid w:val="008F2596"/>
    <w:rsid w:val="008F5EF6"/>
    <w:rsid w:val="008F5FEB"/>
    <w:rsid w:val="008F77FF"/>
    <w:rsid w:val="00900300"/>
    <w:rsid w:val="009035A1"/>
    <w:rsid w:val="00903D0C"/>
    <w:rsid w:val="00907714"/>
    <w:rsid w:val="009125F8"/>
    <w:rsid w:val="0091434F"/>
    <w:rsid w:val="009153F3"/>
    <w:rsid w:val="009212E6"/>
    <w:rsid w:val="00923C44"/>
    <w:rsid w:val="00925279"/>
    <w:rsid w:val="00927ED4"/>
    <w:rsid w:val="00935E7E"/>
    <w:rsid w:val="00936E56"/>
    <w:rsid w:val="0094040A"/>
    <w:rsid w:val="00957AF7"/>
    <w:rsid w:val="009675EE"/>
    <w:rsid w:val="009733D9"/>
    <w:rsid w:val="00977DBE"/>
    <w:rsid w:val="0098207A"/>
    <w:rsid w:val="00986952"/>
    <w:rsid w:val="0098702D"/>
    <w:rsid w:val="00990C47"/>
    <w:rsid w:val="0099388B"/>
    <w:rsid w:val="00995504"/>
    <w:rsid w:val="009A213F"/>
    <w:rsid w:val="009A6EE1"/>
    <w:rsid w:val="009B0538"/>
    <w:rsid w:val="009D2965"/>
    <w:rsid w:val="009D47FF"/>
    <w:rsid w:val="009D6D50"/>
    <w:rsid w:val="009E0A9C"/>
    <w:rsid w:val="009E3A30"/>
    <w:rsid w:val="009E3EE1"/>
    <w:rsid w:val="009E4644"/>
    <w:rsid w:val="009F2102"/>
    <w:rsid w:val="009F355F"/>
    <w:rsid w:val="009F54D3"/>
    <w:rsid w:val="009F6349"/>
    <w:rsid w:val="00A0799F"/>
    <w:rsid w:val="00A1440D"/>
    <w:rsid w:val="00A14778"/>
    <w:rsid w:val="00A14C59"/>
    <w:rsid w:val="00A15747"/>
    <w:rsid w:val="00A22A37"/>
    <w:rsid w:val="00A231F4"/>
    <w:rsid w:val="00A274DE"/>
    <w:rsid w:val="00A30D43"/>
    <w:rsid w:val="00A34D8A"/>
    <w:rsid w:val="00A44412"/>
    <w:rsid w:val="00A56157"/>
    <w:rsid w:val="00A60B1D"/>
    <w:rsid w:val="00A627EC"/>
    <w:rsid w:val="00A70369"/>
    <w:rsid w:val="00A8072B"/>
    <w:rsid w:val="00A824EA"/>
    <w:rsid w:val="00A840C1"/>
    <w:rsid w:val="00A84252"/>
    <w:rsid w:val="00A87B24"/>
    <w:rsid w:val="00A90EE3"/>
    <w:rsid w:val="00A92525"/>
    <w:rsid w:val="00A95387"/>
    <w:rsid w:val="00A96F33"/>
    <w:rsid w:val="00AA3E16"/>
    <w:rsid w:val="00AA659B"/>
    <w:rsid w:val="00AA772A"/>
    <w:rsid w:val="00AA7BAE"/>
    <w:rsid w:val="00AB0682"/>
    <w:rsid w:val="00AB417F"/>
    <w:rsid w:val="00AB4D04"/>
    <w:rsid w:val="00AC4F68"/>
    <w:rsid w:val="00AD0A76"/>
    <w:rsid w:val="00AD71DF"/>
    <w:rsid w:val="00AD7FD2"/>
    <w:rsid w:val="00AE2951"/>
    <w:rsid w:val="00AE5510"/>
    <w:rsid w:val="00AE62E9"/>
    <w:rsid w:val="00AE7483"/>
    <w:rsid w:val="00AF1DD2"/>
    <w:rsid w:val="00AF4335"/>
    <w:rsid w:val="00AF557D"/>
    <w:rsid w:val="00B06849"/>
    <w:rsid w:val="00B07692"/>
    <w:rsid w:val="00B106A3"/>
    <w:rsid w:val="00B1118B"/>
    <w:rsid w:val="00B12C89"/>
    <w:rsid w:val="00B12FB2"/>
    <w:rsid w:val="00B3260D"/>
    <w:rsid w:val="00B35FEF"/>
    <w:rsid w:val="00B36A05"/>
    <w:rsid w:val="00B41A64"/>
    <w:rsid w:val="00B4729D"/>
    <w:rsid w:val="00B51410"/>
    <w:rsid w:val="00B54771"/>
    <w:rsid w:val="00B640DE"/>
    <w:rsid w:val="00B75C2F"/>
    <w:rsid w:val="00B84AE3"/>
    <w:rsid w:val="00B94445"/>
    <w:rsid w:val="00BB2EA4"/>
    <w:rsid w:val="00BB3B89"/>
    <w:rsid w:val="00BC06D6"/>
    <w:rsid w:val="00BC5875"/>
    <w:rsid w:val="00BD1D2D"/>
    <w:rsid w:val="00BD3679"/>
    <w:rsid w:val="00BD67B9"/>
    <w:rsid w:val="00BD6EDE"/>
    <w:rsid w:val="00BD7829"/>
    <w:rsid w:val="00BE5B1A"/>
    <w:rsid w:val="00BE5C6E"/>
    <w:rsid w:val="00C0282D"/>
    <w:rsid w:val="00C1320D"/>
    <w:rsid w:val="00C20650"/>
    <w:rsid w:val="00C2089A"/>
    <w:rsid w:val="00C22C8A"/>
    <w:rsid w:val="00C254FA"/>
    <w:rsid w:val="00C27E08"/>
    <w:rsid w:val="00C33195"/>
    <w:rsid w:val="00C45F4F"/>
    <w:rsid w:val="00C46CC2"/>
    <w:rsid w:val="00C62787"/>
    <w:rsid w:val="00C62AC8"/>
    <w:rsid w:val="00C70F99"/>
    <w:rsid w:val="00C85D0C"/>
    <w:rsid w:val="00C87D43"/>
    <w:rsid w:val="00C92B2E"/>
    <w:rsid w:val="00C946CA"/>
    <w:rsid w:val="00CA24D7"/>
    <w:rsid w:val="00CA411E"/>
    <w:rsid w:val="00CA4657"/>
    <w:rsid w:val="00CA73D4"/>
    <w:rsid w:val="00CB2099"/>
    <w:rsid w:val="00CB77E0"/>
    <w:rsid w:val="00CC0BB5"/>
    <w:rsid w:val="00CC2930"/>
    <w:rsid w:val="00CD210F"/>
    <w:rsid w:val="00CD3A8D"/>
    <w:rsid w:val="00CD7349"/>
    <w:rsid w:val="00CF2FA4"/>
    <w:rsid w:val="00CF376E"/>
    <w:rsid w:val="00D00D4E"/>
    <w:rsid w:val="00D050A9"/>
    <w:rsid w:val="00D115C0"/>
    <w:rsid w:val="00D11B4A"/>
    <w:rsid w:val="00D123D3"/>
    <w:rsid w:val="00D14AFC"/>
    <w:rsid w:val="00D162EA"/>
    <w:rsid w:val="00D2203C"/>
    <w:rsid w:val="00D25AD2"/>
    <w:rsid w:val="00D26522"/>
    <w:rsid w:val="00D26A3F"/>
    <w:rsid w:val="00D26CD0"/>
    <w:rsid w:val="00D375DC"/>
    <w:rsid w:val="00D42DD0"/>
    <w:rsid w:val="00D527B7"/>
    <w:rsid w:val="00D53587"/>
    <w:rsid w:val="00D60F31"/>
    <w:rsid w:val="00D75A63"/>
    <w:rsid w:val="00D80543"/>
    <w:rsid w:val="00D80A91"/>
    <w:rsid w:val="00D91723"/>
    <w:rsid w:val="00D928BF"/>
    <w:rsid w:val="00D96C61"/>
    <w:rsid w:val="00DB4BE5"/>
    <w:rsid w:val="00DB556D"/>
    <w:rsid w:val="00DB5D72"/>
    <w:rsid w:val="00DC1AD8"/>
    <w:rsid w:val="00DC696E"/>
    <w:rsid w:val="00DD5AC8"/>
    <w:rsid w:val="00DF30F0"/>
    <w:rsid w:val="00DF75D6"/>
    <w:rsid w:val="00E00094"/>
    <w:rsid w:val="00E04D31"/>
    <w:rsid w:val="00E142DD"/>
    <w:rsid w:val="00E14FDE"/>
    <w:rsid w:val="00E153BE"/>
    <w:rsid w:val="00E17235"/>
    <w:rsid w:val="00E17CB2"/>
    <w:rsid w:val="00E2542E"/>
    <w:rsid w:val="00E34384"/>
    <w:rsid w:val="00E42C41"/>
    <w:rsid w:val="00E51507"/>
    <w:rsid w:val="00E5637E"/>
    <w:rsid w:val="00E574F8"/>
    <w:rsid w:val="00E63704"/>
    <w:rsid w:val="00E6667F"/>
    <w:rsid w:val="00E670DE"/>
    <w:rsid w:val="00E763F6"/>
    <w:rsid w:val="00E81AF6"/>
    <w:rsid w:val="00E864BA"/>
    <w:rsid w:val="00E90E29"/>
    <w:rsid w:val="00E9258F"/>
    <w:rsid w:val="00EA02C0"/>
    <w:rsid w:val="00EA1BAE"/>
    <w:rsid w:val="00EA56B0"/>
    <w:rsid w:val="00EA7C31"/>
    <w:rsid w:val="00EB1EF2"/>
    <w:rsid w:val="00EB35C0"/>
    <w:rsid w:val="00EB3627"/>
    <w:rsid w:val="00EB77A0"/>
    <w:rsid w:val="00EC0854"/>
    <w:rsid w:val="00EC16ED"/>
    <w:rsid w:val="00EC350E"/>
    <w:rsid w:val="00EC3685"/>
    <w:rsid w:val="00ED1842"/>
    <w:rsid w:val="00ED1F57"/>
    <w:rsid w:val="00ED26F1"/>
    <w:rsid w:val="00EE1EA8"/>
    <w:rsid w:val="00EE1FD7"/>
    <w:rsid w:val="00EE4F71"/>
    <w:rsid w:val="00EE7D2D"/>
    <w:rsid w:val="00EF0380"/>
    <w:rsid w:val="00EF15A8"/>
    <w:rsid w:val="00EF6D36"/>
    <w:rsid w:val="00EF7359"/>
    <w:rsid w:val="00EF7FD0"/>
    <w:rsid w:val="00F014EA"/>
    <w:rsid w:val="00F06F6D"/>
    <w:rsid w:val="00F16C71"/>
    <w:rsid w:val="00F2367E"/>
    <w:rsid w:val="00F3100D"/>
    <w:rsid w:val="00F34107"/>
    <w:rsid w:val="00F404A6"/>
    <w:rsid w:val="00F47E8F"/>
    <w:rsid w:val="00F47F90"/>
    <w:rsid w:val="00F525C3"/>
    <w:rsid w:val="00F604C8"/>
    <w:rsid w:val="00F65398"/>
    <w:rsid w:val="00F70096"/>
    <w:rsid w:val="00F85A15"/>
    <w:rsid w:val="00F85DC4"/>
    <w:rsid w:val="00F876FF"/>
    <w:rsid w:val="00F91023"/>
    <w:rsid w:val="00F94CA7"/>
    <w:rsid w:val="00F9600B"/>
    <w:rsid w:val="00F967E3"/>
    <w:rsid w:val="00F96FB4"/>
    <w:rsid w:val="00FA1098"/>
    <w:rsid w:val="00FB1047"/>
    <w:rsid w:val="00FB2E69"/>
    <w:rsid w:val="00FB5A6C"/>
    <w:rsid w:val="00FB6F87"/>
    <w:rsid w:val="00FB7299"/>
    <w:rsid w:val="00FC3F82"/>
    <w:rsid w:val="00FC6A62"/>
    <w:rsid w:val="00FD4801"/>
    <w:rsid w:val="00FD5B6C"/>
    <w:rsid w:val="00FD791F"/>
    <w:rsid w:val="00FE07AE"/>
    <w:rsid w:val="00FE5FA5"/>
    <w:rsid w:val="00FE634A"/>
    <w:rsid w:val="00FF2F1D"/>
    <w:rsid w:val="00FF38B7"/>
    <w:rsid w:val="00FF4315"/>
    <w:rsid w:val="00FF48AB"/>
    <w:rsid w:val="00FF6D37"/>
    <w:rsid w:val="094E0AD4"/>
    <w:rsid w:val="0A2963A6"/>
    <w:rsid w:val="0FC03811"/>
    <w:rsid w:val="139B0BE1"/>
    <w:rsid w:val="14A726D2"/>
    <w:rsid w:val="1620266C"/>
    <w:rsid w:val="1BBE62DF"/>
    <w:rsid w:val="2EB469E2"/>
    <w:rsid w:val="32375D22"/>
    <w:rsid w:val="36DD498F"/>
    <w:rsid w:val="39164805"/>
    <w:rsid w:val="3D5E28B9"/>
    <w:rsid w:val="3E790F0E"/>
    <w:rsid w:val="3FFE4D97"/>
    <w:rsid w:val="40E14DFF"/>
    <w:rsid w:val="410531C0"/>
    <w:rsid w:val="42C65AA5"/>
    <w:rsid w:val="42EB5730"/>
    <w:rsid w:val="49C61978"/>
    <w:rsid w:val="500A36BB"/>
    <w:rsid w:val="500C4CE2"/>
    <w:rsid w:val="527463D6"/>
    <w:rsid w:val="5489699F"/>
    <w:rsid w:val="554C48AD"/>
    <w:rsid w:val="565D6CC1"/>
    <w:rsid w:val="5A3D6D37"/>
    <w:rsid w:val="5C140C45"/>
    <w:rsid w:val="6B0E18AF"/>
    <w:rsid w:val="6E603932"/>
    <w:rsid w:val="716A2D22"/>
    <w:rsid w:val="734776CC"/>
    <w:rsid w:val="783F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qFormat="1" w:uiPriority="39" w:semiHidden="0" w:name="toc 1"/>
    <w:lsdException w:qFormat="1" w:uiPriority="39" w:semiHidden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99" w:name="Normal Indent" w:locked="1"/>
    <w:lsdException w:qFormat="1" w:unhideWhenUsed="0" w:uiPriority="99" w:name="footnote text"/>
    <w:lsdException w:qFormat="1" w:uiPriority="99" w:semiHidden="0" w:name="annotation text" w:locked="1"/>
    <w:lsdException w:qFormat="1" w:unhideWhenUsed="0" w:uiPriority="0" w:semiHidden="0" w:name="header"/>
    <w:lsdException w:qFormat="1" w:unhideWhenUsed="0" w:uiPriority="99" w:semiHidden="0" w:name="footer"/>
    <w:lsdException w:uiPriority="99" w:name="index heading" w:locked="1"/>
    <w:lsdException w:qFormat="1" w:unhideWhenUsed="0" w:uiPriority="99" w:semiHidden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qFormat="1" w:unhideWhenUsed="0" w:uiPriority="99" w:name="footnote reference"/>
    <w:lsdException w:qFormat="1" w:uiPriority="99" w:name="annotation reference" w:locked="1"/>
    <w:lsdException w:uiPriority="99" w:name="line number" w:locked="1"/>
    <w:lsdException w:qFormat="1" w:unhideWhenUsed="0" w:uiPriority="0" w:semiHidden="0" w:name="page number"/>
    <w:lsdException w:qFormat="1" w:unhideWhenUsed="0" w:uiPriority="0" w:name="endnote reference"/>
    <w:lsdException w:qFormat="1" w:unhideWhenUsed="0" w:uiPriority="99" w:semiHidden="0" w:name="endnote text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nhideWhenUsed="0" w:uiPriority="0" w:semiHidden="0" w:name="List Number"/>
    <w:lsdException w:uiPriority="99" w:name="List 2" w:locked="1"/>
    <w:lsdException w:uiPriority="99" w:name="List 3" w:locked="1"/>
    <w:lsdException w:uiPriority="0" w:name="List 4"/>
    <w:lsdException w:uiPriority="0" w:name="List 5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99" w:semiHidden="0" w:name="Title"/>
    <w:lsdException w:uiPriority="99" w:name="Closing" w:locked="1"/>
    <w:lsdException w:uiPriority="99" w:name="Signature" w:locked="1"/>
    <w:lsdException w:qFormat="1"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99" w:semiHidden="0" w:name="Subtitle"/>
    <w:lsdException w:uiPriority="0" w:name="Salutation"/>
    <w:lsdException w:uiPriority="0" w:name="Date"/>
    <w:lsdException w:uiPriority="0" w:name="Body Text First Indent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iPriority="99" w:semiHidden="0" w:name="Hyperlink" w:locked="1"/>
    <w:lsdException w:uiPriority="99" w:name="FollowedHyperlink" w:locked="1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qFormat="1" w:unhideWhenUsed="0" w:uiPriority="99" w:semiHidden="0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qFormat="1"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99" w:name="Table Theme" w:locked="1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2"/>
      <w:lang w:val="ru-RU" w:eastAsia="ru-RU" w:bidi="ar-SA"/>
    </w:rPr>
  </w:style>
  <w:style w:type="paragraph" w:styleId="2">
    <w:name w:val="heading 1"/>
    <w:basedOn w:val="1"/>
    <w:next w:val="1"/>
    <w:link w:val="35"/>
    <w:qFormat/>
    <w:uiPriority w:val="99"/>
    <w:pPr>
      <w:contextualSpacing/>
      <w:jc w:val="center"/>
      <w:outlineLvl w:val="0"/>
    </w:pPr>
    <w:rPr>
      <w:b/>
      <w:bCs/>
      <w:sz w:val="28"/>
      <w:szCs w:val="28"/>
    </w:rPr>
  </w:style>
  <w:style w:type="paragraph" w:styleId="3">
    <w:name w:val="heading 2"/>
    <w:basedOn w:val="1"/>
    <w:next w:val="1"/>
    <w:link w:val="36"/>
    <w:qFormat/>
    <w:uiPriority w:val="99"/>
    <w:pPr>
      <w:outlineLvl w:val="1"/>
    </w:pPr>
    <w:rPr>
      <w:b/>
      <w:bCs/>
      <w:szCs w:val="26"/>
    </w:rPr>
  </w:style>
  <w:style w:type="paragraph" w:styleId="4">
    <w:name w:val="heading 3"/>
    <w:basedOn w:val="1"/>
    <w:next w:val="1"/>
    <w:link w:val="37"/>
    <w:qFormat/>
    <w:uiPriority w:val="99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5">
    <w:name w:val="heading 4"/>
    <w:basedOn w:val="1"/>
    <w:next w:val="1"/>
    <w:link w:val="38"/>
    <w:qFormat/>
    <w:uiPriority w:val="99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6">
    <w:name w:val="heading 5"/>
    <w:basedOn w:val="1"/>
    <w:next w:val="1"/>
    <w:link w:val="39"/>
    <w:qFormat/>
    <w:uiPriority w:val="99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7">
    <w:name w:val="heading 6"/>
    <w:basedOn w:val="1"/>
    <w:next w:val="1"/>
    <w:link w:val="40"/>
    <w:qFormat/>
    <w:uiPriority w:val="99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8">
    <w:name w:val="heading 7"/>
    <w:basedOn w:val="1"/>
    <w:next w:val="1"/>
    <w:link w:val="41"/>
    <w:qFormat/>
    <w:uiPriority w:val="99"/>
    <w:pPr>
      <w:outlineLvl w:val="6"/>
    </w:pPr>
    <w:rPr>
      <w:rFonts w:ascii="Cambria" w:hAnsi="Cambria"/>
      <w:i/>
      <w:iCs/>
    </w:rPr>
  </w:style>
  <w:style w:type="paragraph" w:styleId="9">
    <w:name w:val="heading 8"/>
    <w:basedOn w:val="1"/>
    <w:next w:val="1"/>
    <w:link w:val="42"/>
    <w:qFormat/>
    <w:uiPriority w:val="99"/>
    <w:pPr>
      <w:outlineLvl w:val="7"/>
    </w:pPr>
    <w:rPr>
      <w:rFonts w:ascii="Cambria" w:hAnsi="Cambria"/>
      <w:sz w:val="20"/>
      <w:szCs w:val="20"/>
    </w:rPr>
  </w:style>
  <w:style w:type="paragraph" w:styleId="10">
    <w:name w:val="heading 9"/>
    <w:basedOn w:val="1"/>
    <w:next w:val="1"/>
    <w:link w:val="43"/>
    <w:qFormat/>
    <w:uiPriority w:val="99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semiHidden/>
    <w:qFormat/>
    <w:uiPriority w:val="99"/>
    <w:rPr>
      <w:rFonts w:cs="Times New Roman"/>
      <w:vertAlign w:val="superscript"/>
    </w:rPr>
  </w:style>
  <w:style w:type="character" w:styleId="14">
    <w:name w:val="annotation reference"/>
    <w:basedOn w:val="11"/>
    <w:semiHidden/>
    <w:unhideWhenUsed/>
    <w:qFormat/>
    <w:locked/>
    <w:uiPriority w:val="99"/>
    <w:rPr>
      <w:sz w:val="16"/>
      <w:szCs w:val="16"/>
    </w:rPr>
  </w:style>
  <w:style w:type="character" w:styleId="15">
    <w:name w:val="endnote reference"/>
    <w:basedOn w:val="11"/>
    <w:semiHidden/>
    <w:qFormat/>
    <w:uiPriority w:val="0"/>
    <w:rPr>
      <w:rFonts w:cs="Times New Roman"/>
      <w:vertAlign w:val="superscript"/>
    </w:rPr>
  </w:style>
  <w:style w:type="character" w:styleId="16">
    <w:name w:val="Emphasis"/>
    <w:basedOn w:val="11"/>
    <w:qFormat/>
    <w:uiPriority w:val="99"/>
    <w:rPr>
      <w:rFonts w:cs="Times New Roman"/>
      <w:b/>
      <w:i/>
      <w:spacing w:val="10"/>
      <w:shd w:val="clear" w:color="auto" w:fill="auto"/>
    </w:rPr>
  </w:style>
  <w:style w:type="character" w:styleId="17">
    <w:name w:val="Hyperlink"/>
    <w:basedOn w:val="11"/>
    <w:unhideWhenUsed/>
    <w:qFormat/>
    <w:lock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8">
    <w:name w:val="page number"/>
    <w:basedOn w:val="11"/>
    <w:qFormat/>
    <w:uiPriority w:val="0"/>
    <w:rPr>
      <w:rFonts w:ascii="Times New Roman" w:hAnsi="Times New Roman" w:cs="Times New Roman"/>
      <w:sz w:val="20"/>
    </w:rPr>
  </w:style>
  <w:style w:type="character" w:styleId="19">
    <w:name w:val="Strong"/>
    <w:basedOn w:val="11"/>
    <w:qFormat/>
    <w:uiPriority w:val="99"/>
    <w:rPr>
      <w:rFonts w:cs="Times New Roman"/>
      <w:b/>
    </w:rPr>
  </w:style>
  <w:style w:type="paragraph" w:styleId="20">
    <w:name w:val="Balloon Text"/>
    <w:basedOn w:val="1"/>
    <w:link w:val="59"/>
    <w:semiHidden/>
    <w:qFormat/>
    <w:uiPriority w:val="99"/>
    <w:rPr>
      <w:rFonts w:ascii="Tahoma" w:hAnsi="Tahoma" w:cs="Tahoma"/>
      <w:sz w:val="16"/>
      <w:szCs w:val="16"/>
    </w:rPr>
  </w:style>
  <w:style w:type="paragraph" w:styleId="21">
    <w:name w:val="endnote text"/>
    <w:basedOn w:val="1"/>
    <w:link w:val="61"/>
    <w:qFormat/>
    <w:uiPriority w:val="99"/>
    <w:pPr>
      <w:jc w:val="both"/>
    </w:pPr>
    <w:rPr>
      <w:rFonts w:eastAsiaTheme="minorHAnsi" w:cstheme="minorBidi"/>
      <w:sz w:val="20"/>
      <w:lang w:eastAsia="en-US"/>
    </w:rPr>
  </w:style>
  <w:style w:type="paragraph" w:styleId="22">
    <w:name w:val="caption"/>
    <w:basedOn w:val="1"/>
    <w:next w:val="1"/>
    <w:qFormat/>
    <w:uiPriority w:val="99"/>
    <w:rPr>
      <w:b/>
      <w:bCs/>
      <w:color w:val="4F81BD"/>
      <w:sz w:val="18"/>
      <w:szCs w:val="18"/>
    </w:rPr>
  </w:style>
  <w:style w:type="paragraph" w:styleId="23">
    <w:name w:val="annotation text"/>
    <w:basedOn w:val="1"/>
    <w:link w:val="66"/>
    <w:unhideWhenUsed/>
    <w:qFormat/>
    <w:locked/>
    <w:uiPriority w:val="99"/>
    <w:rPr>
      <w:sz w:val="20"/>
      <w:szCs w:val="20"/>
    </w:rPr>
  </w:style>
  <w:style w:type="paragraph" w:styleId="24">
    <w:name w:val="annotation subject"/>
    <w:basedOn w:val="23"/>
    <w:next w:val="23"/>
    <w:link w:val="67"/>
    <w:semiHidden/>
    <w:unhideWhenUsed/>
    <w:qFormat/>
    <w:locked/>
    <w:uiPriority w:val="99"/>
    <w:rPr>
      <w:b/>
      <w:bCs/>
    </w:rPr>
  </w:style>
  <w:style w:type="paragraph" w:styleId="25">
    <w:name w:val="footnote text"/>
    <w:basedOn w:val="1"/>
    <w:link w:val="58"/>
    <w:semiHidden/>
    <w:qFormat/>
    <w:uiPriority w:val="99"/>
    <w:rPr>
      <w:sz w:val="20"/>
      <w:szCs w:val="20"/>
      <w:lang w:eastAsia="en-US"/>
    </w:rPr>
  </w:style>
  <w:style w:type="paragraph" w:styleId="26">
    <w:name w:val="header"/>
    <w:basedOn w:val="1"/>
    <w:link w:val="63"/>
    <w:qFormat/>
    <w:uiPriority w:val="0"/>
    <w:pPr>
      <w:tabs>
        <w:tab w:val="center" w:pos="4677"/>
        <w:tab w:val="right" w:pos="9355"/>
      </w:tabs>
    </w:pPr>
    <w:rPr>
      <w:lang w:eastAsia="en-US"/>
    </w:rPr>
  </w:style>
  <w:style w:type="paragraph" w:styleId="27">
    <w:name w:val="toc 1"/>
    <w:basedOn w:val="1"/>
    <w:next w:val="1"/>
    <w:autoRedefine/>
    <w:unhideWhenUsed/>
    <w:qFormat/>
    <w:uiPriority w:val="39"/>
    <w:pPr>
      <w:tabs>
        <w:tab w:val="decimal" w:leader="dot" w:pos="10195"/>
      </w:tabs>
    </w:pPr>
  </w:style>
  <w:style w:type="paragraph" w:styleId="28">
    <w:name w:val="toc 2"/>
    <w:basedOn w:val="1"/>
    <w:next w:val="1"/>
    <w:autoRedefine/>
    <w:unhideWhenUsed/>
    <w:qFormat/>
    <w:uiPriority w:val="39"/>
    <w:pPr>
      <w:tabs>
        <w:tab w:val="decimal" w:leader="dot" w:pos="10195"/>
      </w:tabs>
      <w:ind w:left="284"/>
    </w:pPr>
  </w:style>
  <w:style w:type="paragraph" w:styleId="29">
    <w:name w:val="Title"/>
    <w:basedOn w:val="1"/>
    <w:next w:val="1"/>
    <w:link w:val="44"/>
    <w:qFormat/>
    <w:uiPriority w:val="99"/>
    <w:pPr>
      <w:pBdr>
        <w:bottom w:val="single" w:color="auto" w:sz="4" w:space="1"/>
      </w:pBdr>
      <w:contextualSpacing/>
    </w:pPr>
    <w:rPr>
      <w:rFonts w:ascii="Cambria" w:hAnsi="Cambria"/>
      <w:spacing w:val="5"/>
      <w:sz w:val="52"/>
      <w:szCs w:val="52"/>
    </w:rPr>
  </w:style>
  <w:style w:type="paragraph" w:styleId="30">
    <w:name w:val="footer"/>
    <w:basedOn w:val="1"/>
    <w:link w:val="62"/>
    <w:qFormat/>
    <w:uiPriority w:val="99"/>
    <w:pPr>
      <w:tabs>
        <w:tab w:val="center" w:pos="4677"/>
        <w:tab w:val="right" w:pos="9355"/>
      </w:tabs>
    </w:pPr>
    <w:rPr>
      <w:lang w:eastAsia="en-US"/>
    </w:rPr>
  </w:style>
  <w:style w:type="paragraph" w:styleId="31">
    <w:name w:val="Normal (Web)"/>
    <w:basedOn w:val="1"/>
    <w:semiHidden/>
    <w:unhideWhenUsed/>
    <w:qFormat/>
    <w:locked/>
    <w:uiPriority w:val="99"/>
    <w:pPr>
      <w:spacing w:before="100" w:beforeAutospacing="1" w:after="100" w:afterAutospacing="1"/>
    </w:pPr>
    <w:rPr>
      <w:szCs w:val="24"/>
    </w:rPr>
  </w:style>
  <w:style w:type="paragraph" w:styleId="32">
    <w:name w:val="Subtitle"/>
    <w:basedOn w:val="1"/>
    <w:next w:val="1"/>
    <w:link w:val="45"/>
    <w:qFormat/>
    <w:uiPriority w:val="99"/>
    <w:pPr>
      <w:spacing w:after="600"/>
    </w:pPr>
    <w:rPr>
      <w:rFonts w:ascii="Cambria" w:hAnsi="Cambria"/>
      <w:i/>
      <w:iCs/>
      <w:spacing w:val="13"/>
      <w:szCs w:val="24"/>
    </w:rPr>
  </w:style>
  <w:style w:type="paragraph" w:styleId="33">
    <w:name w:val="HTML Preformatted"/>
    <w:basedOn w:val="1"/>
    <w:link w:val="65"/>
    <w:qFormat/>
    <w:lock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34">
    <w:name w:val="Table Grid"/>
    <w:basedOn w:val="12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5">
    <w:name w:val="Заголовок 1 Знак"/>
    <w:basedOn w:val="11"/>
    <w:link w:val="2"/>
    <w:qFormat/>
    <w:locked/>
    <w:uiPriority w:val="99"/>
    <w:rPr>
      <w:rFonts w:ascii="Times New Roman" w:hAnsi="Times New Roman"/>
      <w:b/>
      <w:bCs/>
      <w:sz w:val="28"/>
      <w:szCs w:val="28"/>
    </w:rPr>
  </w:style>
  <w:style w:type="character" w:customStyle="1" w:styleId="36">
    <w:name w:val="Заголовок 2 Знак"/>
    <w:basedOn w:val="11"/>
    <w:link w:val="3"/>
    <w:qFormat/>
    <w:locked/>
    <w:uiPriority w:val="99"/>
    <w:rPr>
      <w:rFonts w:ascii="Times New Roman" w:hAnsi="Times New Roman"/>
      <w:b/>
      <w:bCs/>
      <w:sz w:val="24"/>
      <w:szCs w:val="26"/>
    </w:rPr>
  </w:style>
  <w:style w:type="character" w:customStyle="1" w:styleId="37">
    <w:name w:val="Заголовок 3 Знак"/>
    <w:basedOn w:val="11"/>
    <w:link w:val="4"/>
    <w:semiHidden/>
    <w:qFormat/>
    <w:locked/>
    <w:uiPriority w:val="99"/>
    <w:rPr>
      <w:rFonts w:ascii="Cambria" w:hAnsi="Cambria" w:cs="Times New Roman"/>
      <w:b/>
      <w:bCs/>
    </w:rPr>
  </w:style>
  <w:style w:type="character" w:customStyle="1" w:styleId="38">
    <w:name w:val="Заголовок 4 Знак"/>
    <w:basedOn w:val="11"/>
    <w:link w:val="5"/>
    <w:semiHidden/>
    <w:qFormat/>
    <w:locked/>
    <w:uiPriority w:val="99"/>
    <w:rPr>
      <w:rFonts w:ascii="Cambria" w:hAnsi="Cambria" w:cs="Times New Roman"/>
      <w:b/>
      <w:bCs/>
      <w:i/>
      <w:iCs/>
    </w:rPr>
  </w:style>
  <w:style w:type="character" w:customStyle="1" w:styleId="39">
    <w:name w:val="Заголовок 5 Знак"/>
    <w:basedOn w:val="11"/>
    <w:link w:val="6"/>
    <w:semiHidden/>
    <w:qFormat/>
    <w:locked/>
    <w:uiPriority w:val="99"/>
    <w:rPr>
      <w:rFonts w:ascii="Cambria" w:hAnsi="Cambria" w:cs="Times New Roman"/>
      <w:b/>
      <w:bCs/>
      <w:color w:val="7F7F7F"/>
    </w:rPr>
  </w:style>
  <w:style w:type="character" w:customStyle="1" w:styleId="40">
    <w:name w:val="Заголовок 6 Знак"/>
    <w:basedOn w:val="11"/>
    <w:link w:val="7"/>
    <w:semiHidden/>
    <w:qFormat/>
    <w:locked/>
    <w:uiPriority w:val="99"/>
    <w:rPr>
      <w:rFonts w:ascii="Cambria" w:hAnsi="Cambria" w:cs="Times New Roman"/>
      <w:b/>
      <w:bCs/>
      <w:i/>
      <w:iCs/>
      <w:color w:val="7F7F7F"/>
    </w:rPr>
  </w:style>
  <w:style w:type="character" w:customStyle="1" w:styleId="41">
    <w:name w:val="Заголовок 7 Знак"/>
    <w:basedOn w:val="11"/>
    <w:link w:val="8"/>
    <w:semiHidden/>
    <w:qFormat/>
    <w:locked/>
    <w:uiPriority w:val="99"/>
    <w:rPr>
      <w:rFonts w:ascii="Cambria" w:hAnsi="Cambria" w:cs="Times New Roman"/>
      <w:i/>
      <w:iCs/>
    </w:rPr>
  </w:style>
  <w:style w:type="character" w:customStyle="1" w:styleId="42">
    <w:name w:val="Заголовок 8 Знак"/>
    <w:basedOn w:val="11"/>
    <w:link w:val="9"/>
    <w:semiHidden/>
    <w:qFormat/>
    <w:locked/>
    <w:uiPriority w:val="99"/>
    <w:rPr>
      <w:rFonts w:ascii="Cambria" w:hAnsi="Cambria" w:cs="Times New Roman"/>
      <w:sz w:val="20"/>
      <w:szCs w:val="20"/>
    </w:rPr>
  </w:style>
  <w:style w:type="character" w:customStyle="1" w:styleId="43">
    <w:name w:val="Заголовок 9 Знак"/>
    <w:basedOn w:val="11"/>
    <w:link w:val="10"/>
    <w:semiHidden/>
    <w:qFormat/>
    <w:locked/>
    <w:uiPriority w:val="99"/>
    <w:rPr>
      <w:rFonts w:ascii="Cambria" w:hAnsi="Cambria" w:cs="Times New Roman"/>
      <w:i/>
      <w:iCs/>
      <w:spacing w:val="5"/>
      <w:sz w:val="20"/>
      <w:szCs w:val="20"/>
    </w:rPr>
  </w:style>
  <w:style w:type="character" w:customStyle="1" w:styleId="44">
    <w:name w:val="Заголовок Знак"/>
    <w:basedOn w:val="11"/>
    <w:link w:val="29"/>
    <w:qFormat/>
    <w:locked/>
    <w:uiPriority w:val="99"/>
    <w:rPr>
      <w:rFonts w:ascii="Cambria" w:hAnsi="Cambria" w:cs="Times New Roman"/>
      <w:spacing w:val="5"/>
      <w:sz w:val="52"/>
      <w:szCs w:val="52"/>
    </w:rPr>
  </w:style>
  <w:style w:type="character" w:customStyle="1" w:styleId="45">
    <w:name w:val="Подзаголовок Знак"/>
    <w:basedOn w:val="11"/>
    <w:link w:val="32"/>
    <w:qFormat/>
    <w:locked/>
    <w:uiPriority w:val="99"/>
    <w:rPr>
      <w:rFonts w:ascii="Cambria" w:hAnsi="Cambria" w:cs="Times New Roman"/>
      <w:i/>
      <w:iCs/>
      <w:spacing w:val="13"/>
      <w:sz w:val="24"/>
      <w:szCs w:val="24"/>
    </w:rPr>
  </w:style>
  <w:style w:type="paragraph" w:customStyle="1" w:styleId="46">
    <w:name w:val="Без интервала1"/>
    <w:basedOn w:val="1"/>
    <w:qFormat/>
    <w:uiPriority w:val="99"/>
  </w:style>
  <w:style w:type="paragraph" w:customStyle="1" w:styleId="47">
    <w:name w:val="Абзац списка1"/>
    <w:basedOn w:val="1"/>
    <w:qFormat/>
    <w:uiPriority w:val="99"/>
    <w:pPr>
      <w:ind w:left="720"/>
      <w:contextualSpacing/>
    </w:pPr>
  </w:style>
  <w:style w:type="paragraph" w:customStyle="1" w:styleId="48">
    <w:name w:val="Цитата 21"/>
    <w:basedOn w:val="1"/>
    <w:next w:val="1"/>
    <w:link w:val="49"/>
    <w:qFormat/>
    <w:uiPriority w:val="99"/>
    <w:pPr>
      <w:spacing w:before="200"/>
      <w:ind w:left="360" w:right="360"/>
    </w:pPr>
    <w:rPr>
      <w:i/>
      <w:iCs/>
    </w:rPr>
  </w:style>
  <w:style w:type="character" w:customStyle="1" w:styleId="49">
    <w:name w:val="Quote Char"/>
    <w:basedOn w:val="11"/>
    <w:link w:val="48"/>
    <w:qFormat/>
    <w:locked/>
    <w:uiPriority w:val="99"/>
    <w:rPr>
      <w:rFonts w:cs="Times New Roman"/>
      <w:i/>
      <w:iCs/>
    </w:rPr>
  </w:style>
  <w:style w:type="paragraph" w:customStyle="1" w:styleId="50">
    <w:name w:val="Выделенная цитата1"/>
    <w:basedOn w:val="1"/>
    <w:next w:val="1"/>
    <w:link w:val="51"/>
    <w:qFormat/>
    <w:uiPriority w:val="99"/>
    <w:pPr>
      <w:pBdr>
        <w:bottom w:val="single" w:color="auto" w:sz="4" w:space="1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51">
    <w:name w:val="Intense Quote Char"/>
    <w:basedOn w:val="11"/>
    <w:link w:val="50"/>
    <w:qFormat/>
    <w:locked/>
    <w:uiPriority w:val="99"/>
    <w:rPr>
      <w:rFonts w:cs="Times New Roman"/>
      <w:b/>
      <w:bCs/>
      <w:i/>
      <w:iCs/>
    </w:rPr>
  </w:style>
  <w:style w:type="character" w:customStyle="1" w:styleId="52">
    <w:name w:val="Слабое выделение1"/>
    <w:basedOn w:val="11"/>
    <w:qFormat/>
    <w:uiPriority w:val="99"/>
    <w:rPr>
      <w:rFonts w:cs="Times New Roman"/>
      <w:i/>
    </w:rPr>
  </w:style>
  <w:style w:type="character" w:customStyle="1" w:styleId="53">
    <w:name w:val="Сильное выделение1"/>
    <w:basedOn w:val="11"/>
    <w:qFormat/>
    <w:uiPriority w:val="99"/>
    <w:rPr>
      <w:rFonts w:cs="Times New Roman"/>
      <w:b/>
    </w:rPr>
  </w:style>
  <w:style w:type="character" w:customStyle="1" w:styleId="54">
    <w:name w:val="Слабая ссылка1"/>
    <w:basedOn w:val="11"/>
    <w:qFormat/>
    <w:uiPriority w:val="99"/>
    <w:rPr>
      <w:rFonts w:cs="Times New Roman"/>
      <w:smallCaps/>
    </w:rPr>
  </w:style>
  <w:style w:type="character" w:customStyle="1" w:styleId="55">
    <w:name w:val="Сильная ссылка1"/>
    <w:basedOn w:val="11"/>
    <w:qFormat/>
    <w:uiPriority w:val="99"/>
    <w:rPr>
      <w:rFonts w:cs="Times New Roman"/>
      <w:smallCaps/>
      <w:spacing w:val="5"/>
      <w:u w:val="single"/>
    </w:rPr>
  </w:style>
  <w:style w:type="character" w:customStyle="1" w:styleId="56">
    <w:name w:val="Название книги1"/>
    <w:basedOn w:val="11"/>
    <w:qFormat/>
    <w:uiPriority w:val="99"/>
    <w:rPr>
      <w:rFonts w:cs="Times New Roman"/>
      <w:i/>
      <w:smallCaps/>
      <w:spacing w:val="5"/>
    </w:rPr>
  </w:style>
  <w:style w:type="paragraph" w:customStyle="1" w:styleId="57">
    <w:name w:val="Заголовок оглавления1"/>
    <w:basedOn w:val="2"/>
    <w:next w:val="1"/>
    <w:qFormat/>
    <w:uiPriority w:val="99"/>
    <w:pPr>
      <w:outlineLvl w:val="9"/>
    </w:pPr>
  </w:style>
  <w:style w:type="character" w:customStyle="1" w:styleId="58">
    <w:name w:val="Текст сноски Знак"/>
    <w:basedOn w:val="11"/>
    <w:link w:val="25"/>
    <w:semiHidden/>
    <w:qFormat/>
    <w:locked/>
    <w:uiPriority w:val="99"/>
    <w:rPr>
      <w:rFonts w:eastAsia="Times New Roman" w:cs="Times New Roman"/>
      <w:sz w:val="20"/>
      <w:szCs w:val="20"/>
      <w:lang w:eastAsia="en-US"/>
    </w:rPr>
  </w:style>
  <w:style w:type="character" w:customStyle="1" w:styleId="59">
    <w:name w:val="Текст выноски Знак"/>
    <w:basedOn w:val="11"/>
    <w:link w:val="20"/>
    <w:semiHidden/>
    <w:qFormat/>
    <w:locked/>
    <w:uiPriority w:val="99"/>
    <w:rPr>
      <w:rFonts w:ascii="Tahoma" w:hAnsi="Tahoma" w:cs="Tahoma"/>
      <w:sz w:val="16"/>
      <w:szCs w:val="16"/>
    </w:rPr>
  </w:style>
  <w:style w:type="paragraph" w:customStyle="1" w:styleId="60">
    <w:name w:val="ConsPlus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Times New Roman" w:cs="Arial"/>
      <w:lang w:val="ru-RU" w:eastAsia="ru-RU" w:bidi="ar-SA"/>
    </w:rPr>
  </w:style>
  <w:style w:type="character" w:customStyle="1" w:styleId="61">
    <w:name w:val="Текст концевой сноски Знак"/>
    <w:basedOn w:val="11"/>
    <w:link w:val="21"/>
    <w:qFormat/>
    <w:locked/>
    <w:uiPriority w:val="99"/>
    <w:rPr>
      <w:rFonts w:ascii="Times New Roman" w:hAnsi="Times New Roman" w:eastAsiaTheme="minorHAnsi" w:cstheme="minorBidi"/>
      <w:szCs w:val="22"/>
      <w:lang w:eastAsia="en-US"/>
    </w:rPr>
  </w:style>
  <w:style w:type="character" w:customStyle="1" w:styleId="62">
    <w:name w:val="Нижний колонтитул Знак"/>
    <w:basedOn w:val="11"/>
    <w:link w:val="30"/>
    <w:qFormat/>
    <w:locked/>
    <w:uiPriority w:val="99"/>
    <w:rPr>
      <w:rFonts w:ascii="Calibri" w:hAnsi="Calibri" w:cs="Times New Roman"/>
      <w:lang w:eastAsia="en-US"/>
    </w:rPr>
  </w:style>
  <w:style w:type="character" w:customStyle="1" w:styleId="63">
    <w:name w:val="Верхний колонтитул Знак"/>
    <w:basedOn w:val="11"/>
    <w:link w:val="26"/>
    <w:qFormat/>
    <w:locked/>
    <w:uiPriority w:val="0"/>
    <w:rPr>
      <w:rFonts w:ascii="Calibri" w:hAnsi="Calibri" w:cs="Times New Roman"/>
      <w:lang w:eastAsia="en-US"/>
    </w:rPr>
  </w:style>
  <w:style w:type="paragraph" w:styleId="64">
    <w:name w:val="List Paragraph"/>
    <w:basedOn w:val="1"/>
    <w:qFormat/>
    <w:uiPriority w:val="99"/>
    <w:pPr>
      <w:ind w:left="720"/>
      <w:contextualSpacing/>
    </w:pPr>
  </w:style>
  <w:style w:type="character" w:customStyle="1" w:styleId="65">
    <w:name w:val="Стандартный HTML Знак"/>
    <w:basedOn w:val="11"/>
    <w:link w:val="33"/>
    <w:qFormat/>
    <w:uiPriority w:val="99"/>
    <w:rPr>
      <w:rFonts w:ascii="Courier New" w:hAnsi="Courier New" w:cs="Courier New"/>
      <w:sz w:val="20"/>
      <w:szCs w:val="20"/>
    </w:rPr>
  </w:style>
  <w:style w:type="character" w:customStyle="1" w:styleId="66">
    <w:name w:val="Текст примечания Знак"/>
    <w:basedOn w:val="11"/>
    <w:link w:val="23"/>
    <w:qFormat/>
    <w:uiPriority w:val="99"/>
  </w:style>
  <w:style w:type="character" w:customStyle="1" w:styleId="67">
    <w:name w:val="Тема примечания Знак"/>
    <w:basedOn w:val="66"/>
    <w:link w:val="24"/>
    <w:semiHidden/>
    <w:qFormat/>
    <w:uiPriority w:val="99"/>
    <w:rPr>
      <w:b/>
      <w:bCs/>
    </w:rPr>
  </w:style>
  <w:style w:type="paragraph" w:customStyle="1" w:styleId="68">
    <w:name w:val="Рецензия1"/>
    <w:hidden/>
    <w:semiHidden/>
    <w:qFormat/>
    <w:uiPriority w:val="99"/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customStyle="1" w:styleId="69">
    <w:name w:val="Символ концевой сноски"/>
    <w:qFormat/>
    <w:uiPriority w:val="0"/>
    <w:rPr>
      <w:rFonts w:cs="Times New Roman"/>
      <w:vertAlign w:val="superscript"/>
    </w:rPr>
  </w:style>
  <w:style w:type="paragraph" w:customStyle="1" w:styleId="70">
    <w:name w:val="Обычный1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ru-RU" w:eastAsia="ru-RU" w:bidi="ar-SA"/>
    </w:rPr>
  </w:style>
  <w:style w:type="paragraph" w:customStyle="1" w:styleId="71">
    <w:name w:val="pTextStyle"/>
    <w:basedOn w:val="1"/>
    <w:qFormat/>
    <w:uiPriority w:val="0"/>
    <w:pPr>
      <w:spacing w:line="250" w:lineRule="auto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4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endnotes" Target="end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ADB4F-8EA4-4337-B510-43A4FE3DAD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20</Pages>
  <Words>4311</Words>
  <Characters>35017</Characters>
  <Lines>292</Lines>
  <Paragraphs>82</Paragraphs>
  <TotalTime>13</TotalTime>
  <ScaleCrop>false</ScaleCrop>
  <LinksUpToDate>false</LinksUpToDate>
  <CharactersWithSpaces>38999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2024-11-21T14:12:00Z</dcterms:created>
  <dc:creator>Зайцева</dc:creator>
  <cp:lastModifiedBy>WPS_1655888128</cp:lastModifiedBy>
  <cp:lastPrinted>2024-10-17T08:24:00Z</cp:lastPrinted>
  <dcterms:modified xsi:type="dcterms:W3CDTF">2026-09-03T14:37:09Z</dcterms:modified>
  <dc:title>Макет профессионального стандарта 2023</dc:title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84B5637775284373B8782C18ECDC0BCB_13</vt:lpwstr>
  </property>
  <property fmtid="{D5CDD505-2E9C-101B-9397-08002B2CF9AE}" pid="4" name="KSOTemplateDocerSaveRecord">
    <vt:lpwstr>eyJoZGlkIjoiZTIyZjJiZWZmYzliZWE3M2MzZjAwYWIzOWU0ZDM3MTkiLCJ1c2VySWQiOiI4NDIxNjg2NzU0ODIifQ==</vt:lpwstr>
  </property>
</Properties>
</file>