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200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09"/>
        <w:gridCol w:w="8691"/>
      </w:tblGrid>
      <w:tr w14:paraId="64BDD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08" w:type="dxa"/>
          </w:tcPr>
          <w:p w14:paraId="2E6B1C34"/>
        </w:tc>
        <w:tc>
          <w:tcPr>
            <w:tcW w:w="8691" w:type="dxa"/>
          </w:tcPr>
          <w:p w14:paraId="0C0FC356">
            <w:pPr>
              <w:rPr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Приложение №</w:t>
            </w:r>
          </w:p>
          <w:p w14:paraId="5A509C7C">
            <w:pPr>
              <w:rPr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к приказу АНО НАРК</w:t>
            </w:r>
          </w:p>
          <w:p w14:paraId="362E120E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от ____________ №____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______</w:t>
            </w:r>
          </w:p>
        </w:tc>
      </w:tr>
    </w:tbl>
    <w:p w14:paraId="694BC524">
      <w:pPr>
        <w:rPr>
          <w:lang w:val="ru-RU"/>
        </w:rPr>
      </w:pPr>
    </w:p>
    <w:p w14:paraId="02913DE7">
      <w:pPr>
        <w:pStyle w:val="2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Наименование квалификации и требования к квалификации, на соответствие которой проводится независимая оценка квалификации, представленная СПК в сфере безопасности труда, социальной защиты и </w:t>
      </w:r>
    </w:p>
    <w:p w14:paraId="2B399BF8">
      <w:pPr>
        <w:pStyle w:val="2"/>
        <w:rPr>
          <w:sz w:val="22"/>
          <w:szCs w:val="22"/>
          <w:lang w:val="ru-RU"/>
        </w:rPr>
      </w:pPr>
      <w:bookmarkStart w:id="0" w:name="_Toc1"/>
      <w:r>
        <w:rPr>
          <w:sz w:val="22"/>
          <w:szCs w:val="22"/>
          <w:lang w:val="ru-RU"/>
        </w:rPr>
        <w:t>занятости населения</w:t>
      </w:r>
      <w:bookmarkEnd w:id="0"/>
    </w:p>
    <w:p w14:paraId="66F47B1C">
      <w:pPr>
        <w:pStyle w:val="2"/>
        <w:rPr>
          <w:sz w:val="22"/>
          <w:szCs w:val="22"/>
          <w:lang w:val="ru-RU"/>
        </w:rPr>
      </w:pPr>
    </w:p>
    <w:tbl>
      <w:tblPr>
        <w:tblStyle w:val="21"/>
        <w:tblW w:w="147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7058"/>
        <w:gridCol w:w="7703"/>
      </w:tblGrid>
      <w:tr w14:paraId="4AA24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7058" w:type="dxa"/>
          </w:tcPr>
          <w:p w14:paraId="4DC3F4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1. Наименование квалификации</w:t>
            </w:r>
          </w:p>
        </w:tc>
        <w:tc>
          <w:tcPr>
            <w:tcW w:w="7703" w:type="dxa"/>
          </w:tcPr>
          <w:p w14:paraId="25E09B73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Специалист по оценке профессиональных рисков (7 уровень квалификации)</w:t>
            </w:r>
          </w:p>
        </w:tc>
      </w:tr>
      <w:tr w14:paraId="6C660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7058" w:type="dxa"/>
          </w:tcPr>
          <w:p w14:paraId="7D45E15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2. Номер квалификации</w:t>
            </w:r>
          </w:p>
        </w:tc>
        <w:tc>
          <w:tcPr>
            <w:tcW w:w="7703" w:type="dxa"/>
          </w:tcPr>
          <w:p w14:paraId="62ACD4F1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</w:pPr>
          </w:p>
        </w:tc>
      </w:tr>
      <w:tr w14:paraId="602EA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7058" w:type="dxa"/>
          </w:tcPr>
          <w:p w14:paraId="04A2FC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3. Уровень (подуровень) квалификации</w:t>
            </w:r>
          </w:p>
        </w:tc>
        <w:tc>
          <w:tcPr>
            <w:tcW w:w="7703" w:type="dxa"/>
          </w:tcPr>
          <w:p w14:paraId="248669D5">
            <w:pPr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  <w:lang w:val="ru-RU"/>
              </w:rPr>
              <w:t>7</w:t>
            </w:r>
          </w:p>
        </w:tc>
      </w:tr>
      <w:tr w14:paraId="6795D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491" w:hRule="atLeast"/>
        </w:trPr>
        <w:tc>
          <w:tcPr>
            <w:tcW w:w="7058" w:type="dxa"/>
          </w:tcPr>
          <w:p w14:paraId="177C1EA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4. Область профессиональной деятельности</w:t>
            </w:r>
          </w:p>
        </w:tc>
        <w:tc>
          <w:tcPr>
            <w:tcW w:w="7703" w:type="dxa"/>
          </w:tcPr>
          <w:p w14:paraId="61F5495C">
            <w:pPr>
              <w:pStyle w:val="4"/>
              <w:spacing w:beforeAutospacing="0" w:afterAutospacing="0"/>
              <w:rPr>
                <w:rFonts w:ascii="Times New Roman" w:hAnsi="Times New Roman"/>
                <w:b w:val="0"/>
                <w:bCs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lang w:val="ru-RU"/>
              </w:rPr>
              <w:t>Сквозные виды профессиональной деятельности в промышленности</w:t>
            </w:r>
          </w:p>
          <w:p w14:paraId="0F3FEE0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</w:pPr>
          </w:p>
        </w:tc>
      </w:tr>
      <w:tr w14:paraId="2DAB7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7058" w:type="dxa"/>
          </w:tcPr>
          <w:p w14:paraId="06B3A6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5. Вид профессиональной деятельности</w:t>
            </w:r>
          </w:p>
        </w:tc>
        <w:tc>
          <w:tcPr>
            <w:tcW w:w="7703" w:type="dxa"/>
          </w:tcPr>
          <w:p w14:paraId="040B80F3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hd w:val="clear" w:color="auto" w:fill="FFFFFF"/>
                <w:lang w:val="ru-RU"/>
              </w:rPr>
              <w:t>Деятельность по планированию, организации, контролю и совершенствованию системы управления охраной труда</w:t>
            </w:r>
          </w:p>
        </w:tc>
      </w:tr>
      <w:tr w14:paraId="57E42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7058" w:type="dxa"/>
          </w:tcPr>
          <w:p w14:paraId="2D7C421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6. Реквизиты протокола Совета об одобрении квалификации</w:t>
            </w:r>
          </w:p>
        </w:tc>
        <w:tc>
          <w:tcPr>
            <w:tcW w:w="7703" w:type="dxa"/>
          </w:tcPr>
          <w:p w14:paraId="7A327E9E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Протокол № 106 от 27.05.2026 г.</w:t>
            </w:r>
          </w:p>
        </w:tc>
      </w:tr>
      <w:tr w14:paraId="3340E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538" w:hRule="atLeast"/>
        </w:trPr>
        <w:tc>
          <w:tcPr>
            <w:tcW w:w="7058" w:type="dxa"/>
          </w:tcPr>
          <w:p w14:paraId="77E94CDE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7. Реквизиты приказа Национального агентства об утверждении квалификации</w:t>
            </w:r>
          </w:p>
        </w:tc>
        <w:tc>
          <w:tcPr>
            <w:tcW w:w="7703" w:type="dxa"/>
          </w:tcPr>
          <w:p w14:paraId="5BBE3566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</w:pPr>
          </w:p>
        </w:tc>
      </w:tr>
    </w:tbl>
    <w:p w14:paraId="11DA8E38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3E00422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8. Основание разработки квалификации:</w:t>
      </w:r>
    </w:p>
    <w:tbl>
      <w:tblPr>
        <w:tblStyle w:val="21"/>
        <w:tblW w:w="147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7069"/>
        <w:gridCol w:w="7692"/>
      </w:tblGrid>
      <w:tr w14:paraId="5F79C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76" w:hRule="atLeast"/>
        </w:trPr>
        <w:tc>
          <w:tcPr>
            <w:tcW w:w="7069" w:type="dxa"/>
            <w:vAlign w:val="center"/>
          </w:tcPr>
          <w:p w14:paraId="5DD8DA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Вид документа</w:t>
            </w:r>
          </w:p>
        </w:tc>
        <w:tc>
          <w:tcPr>
            <w:tcW w:w="7691" w:type="dxa"/>
            <w:vAlign w:val="center"/>
          </w:tcPr>
          <w:p w14:paraId="54F447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Полное наименование и реквизиты документа</w:t>
            </w:r>
          </w:p>
        </w:tc>
      </w:tr>
      <w:tr w14:paraId="5C0EA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7069" w:type="dxa"/>
          </w:tcPr>
          <w:p w14:paraId="7FADE1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Профессиональный стандарт (при наличии)</w:t>
            </w:r>
          </w:p>
        </w:tc>
        <w:tc>
          <w:tcPr>
            <w:tcW w:w="7691" w:type="dxa"/>
          </w:tcPr>
          <w:p w14:paraId="794CEEEE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«Специалист в области охраны труда», утверждён приказом Минтруда России от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                  </w:t>
            </w:r>
            <w:bookmarkStart w:id="2" w:name="_GoBack"/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(протокол заочного голосования НСПК от 03.06.2026 от 03.06.2026)</w:t>
            </w:r>
            <w:bookmarkEnd w:id="2"/>
          </w:p>
        </w:tc>
      </w:tr>
      <w:tr w14:paraId="7B74B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7069" w:type="dxa"/>
          </w:tcPr>
          <w:p w14:paraId="526B81A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Квалификационное требование, установленное федеральным законом и иным нормативным правовым актом Российской Федерации (при наличии)</w:t>
            </w:r>
          </w:p>
        </w:tc>
        <w:tc>
          <w:tcPr>
            <w:tcW w:w="7691" w:type="dxa"/>
          </w:tcPr>
          <w:p w14:paraId="59F95B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-</w:t>
            </w:r>
          </w:p>
        </w:tc>
      </w:tr>
      <w:tr w14:paraId="77D50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7069" w:type="dxa"/>
          </w:tcPr>
          <w:p w14:paraId="78C3FDE8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Квалификационная характеристика, связанная с видом профессиональной деятельности</w:t>
            </w:r>
          </w:p>
        </w:tc>
        <w:tc>
          <w:tcPr>
            <w:tcW w:w="7691" w:type="dxa"/>
          </w:tcPr>
          <w:p w14:paraId="630C6F8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-</w:t>
            </w:r>
          </w:p>
        </w:tc>
      </w:tr>
    </w:tbl>
    <w:p w14:paraId="2C0BC9DD">
      <w:pPr>
        <w:rPr>
          <w:sz w:val="22"/>
          <w:szCs w:val="22"/>
        </w:rPr>
        <w:sectPr>
          <w:footerReference r:id="rId5" w:type="first"/>
          <w:footerReference r:id="rId3" w:type="default"/>
          <w:footerReference r:id="rId4" w:type="even"/>
          <w:pgSz w:w="16838" w:h="11906" w:orient="landscape"/>
          <w:pgMar w:top="1138" w:right="1138" w:bottom="1082" w:left="1138" w:header="0" w:footer="569" w:gutter="0"/>
          <w:cols w:space="720" w:num="1"/>
          <w:formProt w:val="0"/>
          <w:docGrid w:linePitch="100" w:charSpace="0"/>
        </w:sectPr>
      </w:pPr>
    </w:p>
    <w:p w14:paraId="25721D11">
      <w:pPr>
        <w:rPr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>9. Трудовые функции (профессиональные задачи, обязанности) и их характеристики:</w:t>
      </w:r>
    </w:p>
    <w:tbl>
      <w:tblPr>
        <w:tblStyle w:val="21"/>
        <w:tblW w:w="14814" w:type="dxa"/>
        <w:tblInd w:w="-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937"/>
        <w:gridCol w:w="2597"/>
        <w:gridCol w:w="2838"/>
        <w:gridCol w:w="3809"/>
        <w:gridCol w:w="2834"/>
        <w:gridCol w:w="1799"/>
      </w:tblGrid>
      <w:tr w14:paraId="22C44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937" w:type="dxa"/>
            <w:vAlign w:val="center"/>
          </w:tcPr>
          <w:p w14:paraId="6023CAF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Код (при наличии профессионального стандарта)</w:t>
            </w:r>
          </w:p>
        </w:tc>
        <w:tc>
          <w:tcPr>
            <w:tcW w:w="2597" w:type="dxa"/>
            <w:vAlign w:val="center"/>
          </w:tcPr>
          <w:p w14:paraId="2A1E66D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Наименование трудовой функции (профессиональной задачи, обязанности)</w:t>
            </w:r>
          </w:p>
        </w:tc>
        <w:tc>
          <w:tcPr>
            <w:tcW w:w="2838" w:type="dxa"/>
            <w:vAlign w:val="center"/>
          </w:tcPr>
          <w:p w14:paraId="7C1A7C1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Трудовые действия</w:t>
            </w:r>
          </w:p>
        </w:tc>
        <w:tc>
          <w:tcPr>
            <w:tcW w:w="3809" w:type="dxa"/>
            <w:vAlign w:val="center"/>
          </w:tcPr>
          <w:p w14:paraId="104205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Необходимые умения</w:t>
            </w:r>
          </w:p>
        </w:tc>
        <w:tc>
          <w:tcPr>
            <w:tcW w:w="2834" w:type="dxa"/>
            <w:vAlign w:val="center"/>
          </w:tcPr>
          <w:p w14:paraId="214B41CB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Необходимые знания</w:t>
            </w:r>
          </w:p>
        </w:tc>
        <w:tc>
          <w:tcPr>
            <w:tcW w:w="1799" w:type="dxa"/>
            <w:vAlign w:val="center"/>
          </w:tcPr>
          <w:p w14:paraId="3FA14A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Дополнительные сведения (при необходимости)</w:t>
            </w:r>
          </w:p>
        </w:tc>
      </w:tr>
      <w:tr w14:paraId="45E8C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37" w:type="dxa"/>
            <w:vMerge w:val="restart"/>
          </w:tcPr>
          <w:p w14:paraId="5A7322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/01.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2597" w:type="dxa"/>
            <w:vMerge w:val="restart"/>
          </w:tcPr>
          <w:p w14:paraId="646318C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Стратегическое управление профессиональными рисками и организация распределения ответственности должностных лиц</w:t>
            </w:r>
          </w:p>
        </w:tc>
        <w:tc>
          <w:tcPr>
            <w:tcW w:w="2838" w:type="dxa"/>
          </w:tcPr>
          <w:p w14:paraId="4AB67CC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Разработка стратегии управления профессиональными рисками</w:t>
            </w:r>
          </w:p>
        </w:tc>
        <w:tc>
          <w:tcPr>
            <w:tcW w:w="3809" w:type="dxa"/>
          </w:tcPr>
          <w:p w14:paraId="11FF7D2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Организовывать процесс управления профессиональными рисками с учетом разработанных регламентов</w:t>
            </w:r>
          </w:p>
          <w:p w14:paraId="029CCE6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Устанавливать и поддерживать профессиональные взаимоотношения и деловые контакты с сотрудниками организации и представителями заинтересованных сторон по вопросам управления профессиональными рисками в организации</w:t>
            </w:r>
          </w:p>
        </w:tc>
        <w:tc>
          <w:tcPr>
            <w:tcW w:w="2834" w:type="dxa"/>
            <w:vMerge w:val="restart"/>
          </w:tcPr>
          <w:p w14:paraId="0BCA4388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НПА и ЛНА, в области охраны труда, промышленной, пожарной, экологической безопасности и технической документации в области эксплуатации оборудования организации, необходимые  для осуществления профессиональной деятельности</w:t>
            </w:r>
          </w:p>
          <w:p w14:paraId="3687C8E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ЛНА, определяющие общую стратегию развития организации</w:t>
            </w:r>
          </w:p>
          <w:p w14:paraId="6090D83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Международные, межгосударственные и национальные стандарты, лучшие практики управления профессиональными рисками</w:t>
            </w:r>
          </w:p>
          <w:p w14:paraId="28041C0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Принципы построения и совершенствования процессов управления профессиональными рисками</w:t>
            </w:r>
          </w:p>
          <w:p w14:paraId="4B1A63A9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Основные принципы и элементы стратегического менеджмента</w:t>
            </w:r>
          </w:p>
          <w:p w14:paraId="0EDBBC0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Методы оценки и снижения уровней профессиональных рисков</w:t>
            </w:r>
          </w:p>
          <w:p w14:paraId="1012117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Психологические аспекты воздействия личности работника на уровень травматизма.</w:t>
            </w:r>
          </w:p>
          <w:p w14:paraId="03D3DB19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Социально-психологический климат коллектива и его влияние на соблюдение требований охраны труда</w:t>
            </w:r>
          </w:p>
          <w:p w14:paraId="60918A91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Нормы корпоративного управления и корпоративной культуры</w:t>
            </w:r>
          </w:p>
        </w:tc>
        <w:tc>
          <w:tcPr>
            <w:tcW w:w="1799" w:type="dxa"/>
            <w:vMerge w:val="restart"/>
          </w:tcPr>
          <w:p w14:paraId="1709D3B8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B5C6C11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2AF81579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539F5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937" w:type="dxa"/>
            <w:vMerge w:val="continue"/>
          </w:tcPr>
          <w:p w14:paraId="1EEA643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97" w:type="dxa"/>
            <w:vMerge w:val="continue"/>
          </w:tcPr>
          <w:p w14:paraId="318EB562">
            <w:pPr>
              <w:rPr>
                <w:rFonts w:ascii="Times New Roman" w:hAnsi="Times New Roman" w:cs="Times New Roman"/>
                <w:color w:val="7030A0"/>
                <w:sz w:val="22"/>
                <w:szCs w:val="22"/>
                <w:lang w:val="ru-RU"/>
              </w:rPr>
            </w:pPr>
          </w:p>
        </w:tc>
        <w:tc>
          <w:tcPr>
            <w:tcW w:w="2838" w:type="dxa"/>
          </w:tcPr>
          <w:p w14:paraId="08AD5769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Организация выявления, распознавания опасностей на рабочих местах и оценка уровней профессиональных рисков</w:t>
            </w:r>
          </w:p>
        </w:tc>
        <w:tc>
          <w:tcPr>
            <w:tcW w:w="3809" w:type="dxa"/>
          </w:tcPr>
          <w:p w14:paraId="33168AC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Определять ключевые показатели эффективности системы управления рисками для предотвращения несчастных случаев и профессиональных заболеваний на рабочем месте</w:t>
            </w:r>
          </w:p>
        </w:tc>
        <w:tc>
          <w:tcPr>
            <w:tcW w:w="2834" w:type="dxa"/>
            <w:vMerge w:val="continue"/>
          </w:tcPr>
          <w:p w14:paraId="114F1CA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99" w:type="dxa"/>
            <w:vMerge w:val="continue"/>
          </w:tcPr>
          <w:p w14:paraId="2FF572B0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330E7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937" w:type="dxa"/>
            <w:vMerge w:val="continue"/>
          </w:tcPr>
          <w:p w14:paraId="4B72CBE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97" w:type="dxa"/>
            <w:vMerge w:val="continue"/>
          </w:tcPr>
          <w:p w14:paraId="11AE2F86">
            <w:pPr>
              <w:rPr>
                <w:rFonts w:ascii="Times New Roman" w:hAnsi="Times New Roman" w:cs="Times New Roman"/>
                <w:color w:val="7030A0"/>
                <w:sz w:val="22"/>
                <w:szCs w:val="22"/>
                <w:lang w:val="ru-RU"/>
              </w:rPr>
            </w:pPr>
          </w:p>
        </w:tc>
        <w:tc>
          <w:tcPr>
            <w:tcW w:w="2838" w:type="dxa"/>
            <w:shd w:val="clear" w:color="auto" w:fill="auto"/>
          </w:tcPr>
          <w:p w14:paraId="256F71B6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Формирование плана мероприятий по стратегическому управлению профессиональными рисками в организации</w:t>
            </w:r>
          </w:p>
        </w:tc>
        <w:tc>
          <w:tcPr>
            <w:tcW w:w="3809" w:type="dxa"/>
          </w:tcPr>
          <w:p w14:paraId="5D2530CA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Разрабатывать проекты ЛНА, устанавливающие порядок выявления, оценки профессиональных рисков в организации, их минимизации</w:t>
            </w:r>
          </w:p>
        </w:tc>
        <w:tc>
          <w:tcPr>
            <w:tcW w:w="2834" w:type="dxa"/>
            <w:vMerge w:val="continue"/>
          </w:tcPr>
          <w:p w14:paraId="2FDD891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99" w:type="dxa"/>
            <w:vMerge w:val="continue"/>
          </w:tcPr>
          <w:p w14:paraId="5F1F8B8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20A0D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270" w:hRule="atLeast"/>
        </w:trPr>
        <w:tc>
          <w:tcPr>
            <w:tcW w:w="937" w:type="dxa"/>
            <w:vMerge w:val="continue"/>
          </w:tcPr>
          <w:p w14:paraId="7BE840D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97" w:type="dxa"/>
            <w:vMerge w:val="continue"/>
          </w:tcPr>
          <w:p w14:paraId="761436A4">
            <w:pPr>
              <w:rPr>
                <w:rFonts w:ascii="Times New Roman" w:hAnsi="Times New Roman" w:cs="Times New Roman"/>
                <w:color w:val="7030A0"/>
                <w:sz w:val="22"/>
                <w:szCs w:val="22"/>
                <w:lang w:val="ru-RU"/>
              </w:rPr>
            </w:pPr>
          </w:p>
        </w:tc>
        <w:tc>
          <w:tcPr>
            <w:tcW w:w="2838" w:type="dxa"/>
          </w:tcPr>
          <w:p w14:paraId="6379F990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Распределение зон ответственности среди руководителей подразделений</w:t>
            </w:r>
          </w:p>
        </w:tc>
        <w:tc>
          <w:tcPr>
            <w:tcW w:w="3809" w:type="dxa"/>
          </w:tcPr>
          <w:p w14:paraId="4C7D70A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Разрабатывать регламент управления рисками с учетом лучших национальных и международных практик создания системы управления профессиональными рисками</w:t>
            </w:r>
          </w:p>
        </w:tc>
        <w:tc>
          <w:tcPr>
            <w:tcW w:w="2834" w:type="dxa"/>
            <w:vMerge w:val="continue"/>
          </w:tcPr>
          <w:p w14:paraId="45497ED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99" w:type="dxa"/>
            <w:vMerge w:val="continue"/>
          </w:tcPr>
          <w:p w14:paraId="273EAADA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4D665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937" w:type="dxa"/>
            <w:vMerge w:val="continue"/>
          </w:tcPr>
          <w:p w14:paraId="1DFB7D5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97" w:type="dxa"/>
            <w:vMerge w:val="continue"/>
          </w:tcPr>
          <w:p w14:paraId="105540ED">
            <w:pPr>
              <w:rPr>
                <w:rFonts w:ascii="Times New Roman" w:hAnsi="Times New Roman" w:cs="Times New Roman"/>
                <w:color w:val="7030A0"/>
                <w:sz w:val="22"/>
                <w:szCs w:val="22"/>
                <w:lang w:val="ru-RU"/>
              </w:rPr>
            </w:pPr>
          </w:p>
        </w:tc>
        <w:tc>
          <w:tcPr>
            <w:tcW w:w="2838" w:type="dxa"/>
          </w:tcPr>
          <w:p w14:paraId="6A30FB9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Контроль реализации мероприятий по снижению профессиональных рисков</w:t>
            </w:r>
          </w:p>
        </w:tc>
        <w:tc>
          <w:tcPr>
            <w:tcW w:w="3809" w:type="dxa"/>
          </w:tcPr>
          <w:p w14:paraId="4BAB385E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Готовить предложения по улучшению технологических процессов и устранению выявленных недостатков</w:t>
            </w:r>
          </w:p>
        </w:tc>
        <w:tc>
          <w:tcPr>
            <w:tcW w:w="2834" w:type="dxa"/>
            <w:vMerge w:val="continue"/>
          </w:tcPr>
          <w:p w14:paraId="0481A8F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99" w:type="dxa"/>
            <w:vMerge w:val="continue"/>
          </w:tcPr>
          <w:p w14:paraId="554BDCD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35DE2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937" w:type="dxa"/>
            <w:vMerge w:val="continue"/>
          </w:tcPr>
          <w:p w14:paraId="73802298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97" w:type="dxa"/>
            <w:vMerge w:val="continue"/>
          </w:tcPr>
          <w:p w14:paraId="13990EEB">
            <w:pPr>
              <w:rPr>
                <w:rFonts w:ascii="Times New Roman" w:hAnsi="Times New Roman" w:cs="Times New Roman"/>
                <w:color w:val="7030A0"/>
                <w:sz w:val="22"/>
                <w:szCs w:val="22"/>
                <w:lang w:val="ru-RU"/>
              </w:rPr>
            </w:pPr>
          </w:p>
        </w:tc>
        <w:tc>
          <w:tcPr>
            <w:tcW w:w="2838" w:type="dxa"/>
          </w:tcPr>
          <w:p w14:paraId="28C9234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Проведение анализа результатов и оценка эффективности принятых решений</w:t>
            </w:r>
          </w:p>
        </w:tc>
        <w:tc>
          <w:tcPr>
            <w:tcW w:w="3809" w:type="dxa"/>
          </w:tcPr>
          <w:p w14:paraId="5C970AD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Планировать меры по предупреждению и снижению последствий чрезвычайных ситуаций в организации</w:t>
            </w:r>
          </w:p>
        </w:tc>
        <w:tc>
          <w:tcPr>
            <w:tcW w:w="2834" w:type="dxa"/>
            <w:vMerge w:val="continue"/>
          </w:tcPr>
          <w:p w14:paraId="1710DE40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99" w:type="dxa"/>
            <w:vMerge w:val="continue"/>
          </w:tcPr>
          <w:p w14:paraId="0031AF8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535FD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37" w:type="dxa"/>
            <w:vMerge w:val="continue"/>
          </w:tcPr>
          <w:p w14:paraId="625EC05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97" w:type="dxa"/>
            <w:vMerge w:val="continue"/>
          </w:tcPr>
          <w:p w14:paraId="28484D2D">
            <w:pPr>
              <w:rPr>
                <w:rFonts w:ascii="Times New Roman" w:hAnsi="Times New Roman" w:cs="Times New Roman"/>
                <w:color w:val="7030A0"/>
                <w:sz w:val="22"/>
                <w:szCs w:val="22"/>
                <w:lang w:val="ru-RU"/>
              </w:rPr>
            </w:pPr>
          </w:p>
        </w:tc>
        <w:tc>
          <w:tcPr>
            <w:tcW w:w="2838" w:type="dxa"/>
          </w:tcPr>
          <w:p w14:paraId="57F0763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Внедрение единых подходов к управлению профессиональными рисками в организации</w:t>
            </w:r>
          </w:p>
        </w:tc>
        <w:tc>
          <w:tcPr>
            <w:tcW w:w="3809" w:type="dxa"/>
          </w:tcPr>
          <w:p w14:paraId="5FC8E6A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Внедрять и поддерживать меры по контролю  технологических операций, работ, представляющих наибольшие риски для здоровья и безопасности работников</w:t>
            </w:r>
          </w:p>
        </w:tc>
        <w:tc>
          <w:tcPr>
            <w:tcW w:w="2834" w:type="dxa"/>
            <w:vMerge w:val="continue"/>
          </w:tcPr>
          <w:p w14:paraId="2FBDCDB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99" w:type="dxa"/>
            <w:vMerge w:val="continue"/>
          </w:tcPr>
          <w:p w14:paraId="35CB181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10102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672" w:hRule="atLeast"/>
        </w:trPr>
        <w:tc>
          <w:tcPr>
            <w:tcW w:w="937" w:type="dxa"/>
            <w:vMerge w:val="restart"/>
          </w:tcPr>
          <w:p w14:paraId="011096C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/02.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2597" w:type="dxa"/>
            <w:vMerge w:val="restart"/>
          </w:tcPr>
          <w:p w14:paraId="7029393E">
            <w:pP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Координирование деятельности участников системы управления профессиональными рисками</w:t>
            </w:r>
          </w:p>
        </w:tc>
        <w:tc>
          <w:tcPr>
            <w:tcW w:w="2838" w:type="dxa"/>
            <w:shd w:val="clear" w:color="auto" w:fill="auto"/>
          </w:tcPr>
          <w:p w14:paraId="0CBE876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Организация совместной работы подразделений и сотрудников организации на своевременное выявление, оценку и устранение профессиональных рисков, обеспечивание согласованного взаимодействия всех участников системы управления профессиональными рисками</w:t>
            </w:r>
          </w:p>
        </w:tc>
        <w:tc>
          <w:tcPr>
            <w:tcW w:w="3809" w:type="dxa"/>
          </w:tcPr>
          <w:p w14:paraId="1383CE1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Оценивать ресурсы, необходимые для внедрения процедуры управления профессиональными рисками</w:t>
            </w:r>
          </w:p>
          <w:p w14:paraId="5335A1B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Организовывать процессы управления профессиональными рисками в организации с учетом требований корпоративных документов</w:t>
            </w:r>
          </w:p>
          <w:p w14:paraId="4CDC5AC3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Идентифицировать потенциальные риски, связанные с производственными процессами, оборудованием, персоналом и внешними факторами</w:t>
            </w:r>
          </w:p>
          <w:p w14:paraId="75FF953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Разрабатывать показатели оценки эффективности управления профессиональными рисками в организации</w:t>
            </w:r>
          </w:p>
        </w:tc>
        <w:tc>
          <w:tcPr>
            <w:tcW w:w="2834" w:type="dxa"/>
            <w:vMerge w:val="restart"/>
          </w:tcPr>
          <w:p w14:paraId="4DA74D9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НПА, ЛНА в области охраны труда, национальные и международные стандарты безопасности труда, регулирующие создание, обеспечение и функционирование СУОТ</w:t>
            </w:r>
          </w:p>
          <w:p w14:paraId="6653618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Методы проведения оценки влияния нововведений на уровень профессиональных рисков</w:t>
            </w:r>
          </w:p>
          <w:p w14:paraId="5D8A220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Основы и принципы управления проектами</w:t>
            </w:r>
          </w:p>
          <w:p w14:paraId="2B169933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Содержание, элементы и принципы процессов стратегического, оперативного планирования</w:t>
            </w:r>
          </w:p>
          <w:p w14:paraId="6612C88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Современные теории и концепции взаимодействия работников в организации, включая вопросы корпоративной этики, мотивации, командообразования, коммуникаций, лидерства, управления конфликтами, внедрения инноваций</w:t>
            </w:r>
          </w:p>
        </w:tc>
        <w:tc>
          <w:tcPr>
            <w:tcW w:w="1799" w:type="dxa"/>
            <w:vMerge w:val="restart"/>
          </w:tcPr>
          <w:p w14:paraId="4B881379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3F87F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12" w:hRule="atLeast"/>
        </w:trPr>
        <w:tc>
          <w:tcPr>
            <w:tcW w:w="937" w:type="dxa"/>
            <w:vMerge w:val="continue"/>
          </w:tcPr>
          <w:p w14:paraId="1686AEA7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97" w:type="dxa"/>
            <w:vMerge w:val="continue"/>
          </w:tcPr>
          <w:p w14:paraId="2ABD7829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838" w:type="dxa"/>
          </w:tcPr>
          <w:p w14:paraId="03BD6694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Постановка задач участникам процесса управления профессиональными рисками в организации</w:t>
            </w:r>
          </w:p>
        </w:tc>
        <w:tc>
          <w:tcPr>
            <w:tcW w:w="3809" w:type="dxa"/>
            <w:shd w:val="clear" w:color="auto" w:fill="auto"/>
          </w:tcPr>
          <w:p w14:paraId="20FC362C">
            <w:pPr>
              <w:jc w:val="both"/>
              <w:rPr>
                <w:rFonts w:ascii="Times New Roman" w:hAnsi="Times New Roman" w:eastAsia="SimSu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val="ru-RU"/>
              </w:rPr>
              <w:t>Устанавливать и поддерживать деловые контакты, отношения с работниками организации и заинтересованными сторонами по вопросам управления профессиональными рисками</w:t>
            </w:r>
          </w:p>
        </w:tc>
        <w:tc>
          <w:tcPr>
            <w:tcW w:w="2834" w:type="dxa"/>
            <w:vMerge w:val="continue"/>
          </w:tcPr>
          <w:p w14:paraId="7B809AB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99" w:type="dxa"/>
            <w:vMerge w:val="continue"/>
          </w:tcPr>
          <w:p w14:paraId="7954E8D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0846B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12" w:hRule="atLeast"/>
        </w:trPr>
        <w:tc>
          <w:tcPr>
            <w:tcW w:w="937" w:type="dxa"/>
            <w:vMerge w:val="continue"/>
          </w:tcPr>
          <w:p w14:paraId="4DA26A35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97" w:type="dxa"/>
            <w:vMerge w:val="continue"/>
          </w:tcPr>
          <w:p w14:paraId="367EEC19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838" w:type="dxa"/>
          </w:tcPr>
          <w:p w14:paraId="6843AC6A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Определение сроков и контроль выполнения задач по реализации процесса внедрения системы управления профессиональными рисками в организации</w:t>
            </w:r>
          </w:p>
        </w:tc>
        <w:tc>
          <w:tcPr>
            <w:tcW w:w="3809" w:type="dxa"/>
            <w:shd w:val="clear" w:color="auto" w:fill="auto"/>
          </w:tcPr>
          <w:p w14:paraId="011E582D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Проводить оценку влияния нововведений на уровень профессиональных рисков</w:t>
            </w:r>
          </w:p>
          <w:p w14:paraId="2289FEA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Вводить инновации и новые технологии для повышения безопасности условий труда и снижения уровня профессиональных рисков</w:t>
            </w:r>
          </w:p>
        </w:tc>
        <w:tc>
          <w:tcPr>
            <w:tcW w:w="2834" w:type="dxa"/>
            <w:vMerge w:val="continue"/>
          </w:tcPr>
          <w:p w14:paraId="023ED95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99" w:type="dxa"/>
            <w:vMerge w:val="continue"/>
          </w:tcPr>
          <w:p w14:paraId="011F5D73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2FAFE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908" w:hRule="atLeast"/>
        </w:trPr>
        <w:tc>
          <w:tcPr>
            <w:tcW w:w="937" w:type="dxa"/>
            <w:vMerge w:val="continue"/>
          </w:tcPr>
          <w:p w14:paraId="3FFA301A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97" w:type="dxa"/>
            <w:vMerge w:val="continue"/>
          </w:tcPr>
          <w:p w14:paraId="77D27B27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838" w:type="dxa"/>
            <w:shd w:val="clear" w:color="auto" w:fill="auto"/>
          </w:tcPr>
          <w:p w14:paraId="6B06FF6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Организация разработки и внедрения процедуры управления профессиональными рисками в организации</w:t>
            </w:r>
          </w:p>
        </w:tc>
        <w:tc>
          <w:tcPr>
            <w:tcW w:w="3809" w:type="dxa"/>
            <w:shd w:val="clear" w:color="auto" w:fill="auto"/>
          </w:tcPr>
          <w:p w14:paraId="2E3C00C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Оценивать эффективность внедрения управления профессиональными рисками в организации</w:t>
            </w:r>
          </w:p>
          <w:p w14:paraId="2AF3C8E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Формировать предложения по внедрению инноваций и новых технологий для повышения качества и снижения профессиональных рисков</w:t>
            </w:r>
          </w:p>
        </w:tc>
        <w:tc>
          <w:tcPr>
            <w:tcW w:w="2834" w:type="dxa"/>
            <w:vMerge w:val="continue"/>
          </w:tcPr>
          <w:p w14:paraId="1B346BF1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99" w:type="dxa"/>
            <w:vMerge w:val="continue"/>
          </w:tcPr>
          <w:p w14:paraId="7243C62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7E592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70" w:hRule="atLeast"/>
        </w:trPr>
        <w:tc>
          <w:tcPr>
            <w:tcW w:w="937" w:type="dxa"/>
            <w:vMerge w:val="restart"/>
          </w:tcPr>
          <w:p w14:paraId="49347AAC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С/03.7</w:t>
            </w:r>
          </w:p>
        </w:tc>
        <w:tc>
          <w:tcPr>
            <w:tcW w:w="2597" w:type="dxa"/>
            <w:vMerge w:val="restart"/>
          </w:tcPr>
          <w:p w14:paraId="6A71F0AE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Мониторинг системы управления профессиональными рисками и оценка эффективности принимаемых мер по снижению рисков травмирования и профессиональных заболеваний работников</w:t>
            </w:r>
          </w:p>
        </w:tc>
        <w:tc>
          <w:tcPr>
            <w:tcW w:w="2838" w:type="dxa"/>
          </w:tcPr>
          <w:p w14:paraId="01009863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Контроль реализации стратегии управления профессиональными рисками в организации</w:t>
            </w:r>
          </w:p>
        </w:tc>
        <w:tc>
          <w:tcPr>
            <w:tcW w:w="3809" w:type="dxa"/>
            <w:vMerge w:val="restart"/>
            <w:shd w:val="clear" w:color="auto" w:fill="auto"/>
          </w:tcPr>
          <w:p w14:paraId="54C45F3F">
            <w:pPr>
              <w:jc w:val="both"/>
              <w:rPr>
                <w:rFonts w:ascii="Times New Roman" w:hAnsi="Times New Roman" w:eastAsia="SimSu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val="ru-RU"/>
              </w:rPr>
              <w:t>Классифицировать профессиональные риски на основе представленных отчетных данных</w:t>
            </w:r>
          </w:p>
        </w:tc>
        <w:tc>
          <w:tcPr>
            <w:tcW w:w="2834" w:type="dxa"/>
            <w:vMerge w:val="restart"/>
          </w:tcPr>
          <w:p w14:paraId="4CE12031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ЛНА по управлению профессиональными рисками в организации</w:t>
            </w:r>
          </w:p>
          <w:p w14:paraId="3BD1B68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Правила и порядок составления отчета об оценке профессиональных рисков</w:t>
            </w:r>
          </w:p>
          <w:p w14:paraId="512B64F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Виды и процедуры комплексного стратегического контроля управления профессиональными рисками</w:t>
            </w:r>
          </w:p>
          <w:p w14:paraId="4D2FD36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Принципы формирования и анализа показателей эффективности управления профессиональными рисками</w:t>
            </w:r>
          </w:p>
          <w:p w14:paraId="0D7C4368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Нормы профессиональной этики</w:t>
            </w:r>
          </w:p>
        </w:tc>
        <w:tc>
          <w:tcPr>
            <w:tcW w:w="1799" w:type="dxa"/>
            <w:vMerge w:val="restart"/>
          </w:tcPr>
          <w:p w14:paraId="77F2568E">
            <w:pPr>
              <w:rPr>
                <w:rFonts w:ascii="Times New Roman" w:hAnsi="Times New Roman" w:cs="Times New Roman"/>
                <w:color w:val="7030A0"/>
                <w:sz w:val="22"/>
                <w:szCs w:val="22"/>
                <w:lang w:val="ru-RU"/>
              </w:rPr>
            </w:pPr>
          </w:p>
        </w:tc>
      </w:tr>
      <w:tr w14:paraId="6207C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70" w:hRule="atLeast"/>
        </w:trPr>
        <w:tc>
          <w:tcPr>
            <w:tcW w:w="937" w:type="dxa"/>
            <w:vMerge w:val="continue"/>
          </w:tcPr>
          <w:p w14:paraId="0EA113FA">
            <w:pPr>
              <w:rPr>
                <w:rFonts w:ascii="Times New Roman" w:hAnsi="Times New Roman" w:eastAsia="Times New Roman" w:cs="Times New Roman"/>
                <w:color w:val="7030A0"/>
                <w:sz w:val="22"/>
                <w:szCs w:val="22"/>
                <w:lang w:val="ru-RU"/>
              </w:rPr>
            </w:pPr>
          </w:p>
        </w:tc>
        <w:tc>
          <w:tcPr>
            <w:tcW w:w="2597" w:type="dxa"/>
            <w:vMerge w:val="continue"/>
          </w:tcPr>
          <w:p w14:paraId="0DF4F41E">
            <w:pPr>
              <w:rPr>
                <w:rFonts w:ascii="Times New Roman" w:hAnsi="Times New Roman" w:eastAsia="Times New Roman" w:cs="Times New Roman"/>
                <w:color w:val="7030A0"/>
                <w:sz w:val="22"/>
                <w:szCs w:val="22"/>
                <w:lang w:val="ru-RU"/>
              </w:rPr>
            </w:pPr>
          </w:p>
        </w:tc>
        <w:tc>
          <w:tcPr>
            <w:tcW w:w="2838" w:type="dxa"/>
          </w:tcPr>
          <w:p w14:paraId="6C7B0594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Определение целей и задач процедуры мониторинга внедрения систем управления профессиональными рисками</w:t>
            </w:r>
          </w:p>
        </w:tc>
        <w:tc>
          <w:tcPr>
            <w:tcW w:w="3809" w:type="dxa"/>
            <w:vMerge w:val="continue"/>
            <w:shd w:val="clear" w:color="auto" w:fill="auto"/>
          </w:tcPr>
          <w:p w14:paraId="4607D1C8">
            <w:pPr>
              <w:jc w:val="both"/>
              <w:rPr>
                <w:rFonts w:ascii="Times New Roman" w:hAnsi="Times New Roman" w:eastAsia="SimSun" w:cs="Times New Roman"/>
                <w:sz w:val="22"/>
                <w:szCs w:val="22"/>
                <w:lang w:val="ru-RU"/>
              </w:rPr>
            </w:pPr>
          </w:p>
        </w:tc>
        <w:tc>
          <w:tcPr>
            <w:tcW w:w="2834" w:type="dxa"/>
            <w:vMerge w:val="continue"/>
          </w:tcPr>
          <w:p w14:paraId="06549696">
            <w:pPr>
              <w:rPr>
                <w:rFonts w:ascii="Times New Roman" w:hAnsi="Times New Roman" w:cs="Times New Roman"/>
                <w:color w:val="7030A0"/>
                <w:sz w:val="22"/>
                <w:szCs w:val="22"/>
                <w:lang w:val="ru-RU"/>
              </w:rPr>
            </w:pPr>
          </w:p>
        </w:tc>
        <w:tc>
          <w:tcPr>
            <w:tcW w:w="1799" w:type="dxa"/>
            <w:vMerge w:val="continue"/>
          </w:tcPr>
          <w:p w14:paraId="348B31C9">
            <w:pPr>
              <w:rPr>
                <w:rFonts w:ascii="Times New Roman" w:hAnsi="Times New Roman" w:cs="Times New Roman"/>
                <w:color w:val="7030A0"/>
                <w:sz w:val="22"/>
                <w:szCs w:val="22"/>
                <w:lang w:val="ru-RU"/>
              </w:rPr>
            </w:pPr>
          </w:p>
        </w:tc>
      </w:tr>
      <w:tr w14:paraId="7ABF6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70" w:hRule="atLeast"/>
        </w:trPr>
        <w:tc>
          <w:tcPr>
            <w:tcW w:w="937" w:type="dxa"/>
            <w:vMerge w:val="continue"/>
          </w:tcPr>
          <w:p w14:paraId="1CB297AE">
            <w:pPr>
              <w:rPr>
                <w:rFonts w:ascii="Times New Roman" w:hAnsi="Times New Roman" w:eastAsia="Times New Roman" w:cs="Times New Roman"/>
                <w:color w:val="7030A0"/>
                <w:sz w:val="22"/>
                <w:szCs w:val="22"/>
                <w:lang w:val="ru-RU"/>
              </w:rPr>
            </w:pPr>
          </w:p>
        </w:tc>
        <w:tc>
          <w:tcPr>
            <w:tcW w:w="2597" w:type="dxa"/>
            <w:vMerge w:val="continue"/>
          </w:tcPr>
          <w:p w14:paraId="4791EC89">
            <w:pPr>
              <w:rPr>
                <w:rFonts w:ascii="Times New Roman" w:hAnsi="Times New Roman" w:eastAsia="Times New Roman" w:cs="Times New Roman"/>
                <w:color w:val="7030A0"/>
                <w:sz w:val="22"/>
                <w:szCs w:val="22"/>
                <w:lang w:val="ru-RU"/>
              </w:rPr>
            </w:pPr>
          </w:p>
        </w:tc>
        <w:tc>
          <w:tcPr>
            <w:tcW w:w="2838" w:type="dxa"/>
          </w:tcPr>
          <w:p w14:paraId="04099A93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Согласование проекта процедуры мониторинга системы управления профессиональными рисками с заинтересованными сторонами</w:t>
            </w:r>
          </w:p>
        </w:tc>
        <w:tc>
          <w:tcPr>
            <w:tcW w:w="3809" w:type="dxa"/>
            <w:vMerge w:val="restart"/>
            <w:shd w:val="clear" w:color="auto" w:fill="auto"/>
          </w:tcPr>
          <w:p w14:paraId="5E790B00">
            <w:pPr>
              <w:jc w:val="both"/>
              <w:rPr>
                <w:rFonts w:ascii="Times New Roman" w:hAnsi="Times New Roman" w:eastAsia="SimSu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val="ru-RU"/>
              </w:rPr>
              <w:t>Формировать актуальную документацию по управлению профессиональными рисками</w:t>
            </w:r>
          </w:p>
        </w:tc>
        <w:tc>
          <w:tcPr>
            <w:tcW w:w="2834" w:type="dxa"/>
            <w:vMerge w:val="continue"/>
          </w:tcPr>
          <w:p w14:paraId="4A3D89CC">
            <w:pPr>
              <w:rPr>
                <w:rFonts w:ascii="Times New Roman" w:hAnsi="Times New Roman" w:cs="Times New Roman"/>
                <w:color w:val="7030A0"/>
                <w:sz w:val="22"/>
                <w:szCs w:val="22"/>
                <w:lang w:val="ru-RU"/>
              </w:rPr>
            </w:pPr>
          </w:p>
        </w:tc>
        <w:tc>
          <w:tcPr>
            <w:tcW w:w="1799" w:type="dxa"/>
            <w:vMerge w:val="continue"/>
          </w:tcPr>
          <w:p w14:paraId="24D1EA50">
            <w:pPr>
              <w:rPr>
                <w:rFonts w:ascii="Times New Roman" w:hAnsi="Times New Roman" w:cs="Times New Roman"/>
                <w:color w:val="7030A0"/>
                <w:sz w:val="22"/>
                <w:szCs w:val="22"/>
                <w:lang w:val="ru-RU"/>
              </w:rPr>
            </w:pPr>
          </w:p>
        </w:tc>
      </w:tr>
      <w:tr w14:paraId="05F62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70" w:hRule="atLeast"/>
        </w:trPr>
        <w:tc>
          <w:tcPr>
            <w:tcW w:w="937" w:type="dxa"/>
            <w:vMerge w:val="continue"/>
          </w:tcPr>
          <w:p w14:paraId="55CA6F28">
            <w:pPr>
              <w:rPr>
                <w:rFonts w:ascii="Times New Roman" w:hAnsi="Times New Roman" w:eastAsia="Times New Roman" w:cs="Times New Roman"/>
                <w:color w:val="7030A0"/>
                <w:sz w:val="22"/>
                <w:szCs w:val="22"/>
                <w:lang w:val="ru-RU"/>
              </w:rPr>
            </w:pPr>
          </w:p>
        </w:tc>
        <w:tc>
          <w:tcPr>
            <w:tcW w:w="2597" w:type="dxa"/>
            <w:vMerge w:val="continue"/>
          </w:tcPr>
          <w:p w14:paraId="186CC557">
            <w:pPr>
              <w:rPr>
                <w:rFonts w:ascii="Times New Roman" w:hAnsi="Times New Roman" w:eastAsia="Times New Roman" w:cs="Times New Roman"/>
                <w:color w:val="7030A0"/>
                <w:sz w:val="22"/>
                <w:szCs w:val="22"/>
                <w:lang w:val="ru-RU"/>
              </w:rPr>
            </w:pPr>
          </w:p>
        </w:tc>
        <w:tc>
          <w:tcPr>
            <w:tcW w:w="2838" w:type="dxa"/>
          </w:tcPr>
          <w:p w14:paraId="3F68A81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Предоставление методической поддержки ответственным лицам</w:t>
            </w:r>
          </w:p>
        </w:tc>
        <w:tc>
          <w:tcPr>
            <w:tcW w:w="3809" w:type="dxa"/>
            <w:vMerge w:val="continue"/>
            <w:shd w:val="clear" w:color="auto" w:fill="auto"/>
          </w:tcPr>
          <w:p w14:paraId="17F7DB13">
            <w:pPr>
              <w:jc w:val="both"/>
              <w:rPr>
                <w:rFonts w:ascii="Times New Roman" w:hAnsi="Times New Roman" w:eastAsia="SimSun" w:cs="Times New Roman"/>
                <w:sz w:val="22"/>
                <w:szCs w:val="22"/>
                <w:lang w:val="ru-RU"/>
              </w:rPr>
            </w:pPr>
          </w:p>
        </w:tc>
        <w:tc>
          <w:tcPr>
            <w:tcW w:w="2834" w:type="dxa"/>
            <w:vMerge w:val="continue"/>
          </w:tcPr>
          <w:p w14:paraId="19956E30">
            <w:pPr>
              <w:rPr>
                <w:rFonts w:ascii="Times New Roman" w:hAnsi="Times New Roman" w:cs="Times New Roman"/>
                <w:color w:val="7030A0"/>
                <w:sz w:val="22"/>
                <w:szCs w:val="22"/>
                <w:lang w:val="ru-RU"/>
              </w:rPr>
            </w:pPr>
          </w:p>
        </w:tc>
        <w:tc>
          <w:tcPr>
            <w:tcW w:w="1799" w:type="dxa"/>
            <w:vMerge w:val="continue"/>
          </w:tcPr>
          <w:p w14:paraId="2362DB93">
            <w:pPr>
              <w:rPr>
                <w:rFonts w:ascii="Times New Roman" w:hAnsi="Times New Roman" w:cs="Times New Roman"/>
                <w:color w:val="7030A0"/>
                <w:sz w:val="22"/>
                <w:szCs w:val="22"/>
                <w:lang w:val="ru-RU"/>
              </w:rPr>
            </w:pPr>
          </w:p>
        </w:tc>
      </w:tr>
      <w:tr w14:paraId="5CBE3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70" w:hRule="atLeast"/>
        </w:trPr>
        <w:tc>
          <w:tcPr>
            <w:tcW w:w="937" w:type="dxa"/>
            <w:vMerge w:val="continue"/>
          </w:tcPr>
          <w:p w14:paraId="042A3EB6">
            <w:pPr>
              <w:rPr>
                <w:rFonts w:ascii="Times New Roman" w:hAnsi="Times New Roman" w:eastAsia="Times New Roman" w:cs="Times New Roman"/>
                <w:color w:val="7030A0"/>
                <w:sz w:val="22"/>
                <w:szCs w:val="22"/>
                <w:lang w:val="ru-RU"/>
              </w:rPr>
            </w:pPr>
          </w:p>
        </w:tc>
        <w:tc>
          <w:tcPr>
            <w:tcW w:w="2597" w:type="dxa"/>
            <w:vMerge w:val="continue"/>
          </w:tcPr>
          <w:p w14:paraId="161F0729">
            <w:pPr>
              <w:rPr>
                <w:rFonts w:ascii="Times New Roman" w:hAnsi="Times New Roman" w:eastAsia="Times New Roman" w:cs="Times New Roman"/>
                <w:color w:val="7030A0"/>
                <w:sz w:val="22"/>
                <w:szCs w:val="22"/>
                <w:lang w:val="ru-RU"/>
              </w:rPr>
            </w:pPr>
          </w:p>
        </w:tc>
        <w:tc>
          <w:tcPr>
            <w:tcW w:w="2838" w:type="dxa"/>
          </w:tcPr>
          <w:p w14:paraId="0AE3608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Оценка эффективности внедренных мероприятий</w:t>
            </w:r>
          </w:p>
        </w:tc>
        <w:tc>
          <w:tcPr>
            <w:tcW w:w="3809" w:type="dxa"/>
            <w:vMerge w:val="restart"/>
            <w:shd w:val="clear" w:color="auto" w:fill="auto"/>
          </w:tcPr>
          <w:p w14:paraId="6FEB9066">
            <w:pPr>
              <w:jc w:val="both"/>
              <w:rPr>
                <w:rFonts w:ascii="Times New Roman" w:hAnsi="Times New Roman" w:eastAsia="SimSu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val="ru-RU"/>
              </w:rPr>
              <w:t>Контролировать процесс формирования отчета об оценке профессиональных рисков</w:t>
            </w:r>
          </w:p>
        </w:tc>
        <w:tc>
          <w:tcPr>
            <w:tcW w:w="2834" w:type="dxa"/>
            <w:vMerge w:val="continue"/>
          </w:tcPr>
          <w:p w14:paraId="1AA17CC8">
            <w:pPr>
              <w:rPr>
                <w:rFonts w:ascii="Times New Roman" w:hAnsi="Times New Roman" w:cs="Times New Roman"/>
                <w:color w:val="7030A0"/>
                <w:sz w:val="22"/>
                <w:szCs w:val="22"/>
                <w:lang w:val="ru-RU"/>
              </w:rPr>
            </w:pPr>
          </w:p>
        </w:tc>
        <w:tc>
          <w:tcPr>
            <w:tcW w:w="1799" w:type="dxa"/>
            <w:vMerge w:val="continue"/>
          </w:tcPr>
          <w:p w14:paraId="1A45CAD1">
            <w:pPr>
              <w:rPr>
                <w:rFonts w:ascii="Times New Roman" w:hAnsi="Times New Roman" w:cs="Times New Roman"/>
                <w:color w:val="7030A0"/>
                <w:sz w:val="22"/>
                <w:szCs w:val="22"/>
                <w:lang w:val="ru-RU"/>
              </w:rPr>
            </w:pPr>
          </w:p>
        </w:tc>
      </w:tr>
      <w:tr w14:paraId="234B5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70" w:hRule="atLeast"/>
        </w:trPr>
        <w:tc>
          <w:tcPr>
            <w:tcW w:w="937" w:type="dxa"/>
            <w:vMerge w:val="continue"/>
          </w:tcPr>
          <w:p w14:paraId="6FE27053">
            <w:pPr>
              <w:rPr>
                <w:rFonts w:ascii="Times New Roman" w:hAnsi="Times New Roman" w:eastAsia="Times New Roman" w:cs="Times New Roman"/>
                <w:color w:val="7030A0"/>
                <w:sz w:val="22"/>
                <w:szCs w:val="22"/>
                <w:lang w:val="ru-RU"/>
              </w:rPr>
            </w:pPr>
          </w:p>
        </w:tc>
        <w:tc>
          <w:tcPr>
            <w:tcW w:w="2597" w:type="dxa"/>
            <w:vMerge w:val="continue"/>
          </w:tcPr>
          <w:p w14:paraId="322CDEA9">
            <w:pPr>
              <w:rPr>
                <w:rFonts w:ascii="Times New Roman" w:hAnsi="Times New Roman" w:eastAsia="Times New Roman" w:cs="Times New Roman"/>
                <w:color w:val="7030A0"/>
                <w:sz w:val="22"/>
                <w:szCs w:val="22"/>
                <w:lang w:val="ru-RU"/>
              </w:rPr>
            </w:pPr>
          </w:p>
        </w:tc>
        <w:tc>
          <w:tcPr>
            <w:tcW w:w="2838" w:type="dxa"/>
          </w:tcPr>
          <w:p w14:paraId="3569366E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Проведение анализа показателей внедрения системы управления профессиональными рисками в структурных подразделениях и в организации в целом</w:t>
            </w:r>
          </w:p>
        </w:tc>
        <w:tc>
          <w:tcPr>
            <w:tcW w:w="3809" w:type="dxa"/>
            <w:vMerge w:val="continue"/>
            <w:shd w:val="clear" w:color="auto" w:fill="auto"/>
          </w:tcPr>
          <w:p w14:paraId="4E4E2CE7">
            <w:pPr>
              <w:jc w:val="both"/>
              <w:rPr>
                <w:rFonts w:ascii="Times New Roman" w:hAnsi="Times New Roman" w:eastAsia="SimSun" w:cs="Times New Roman"/>
                <w:sz w:val="22"/>
                <w:szCs w:val="22"/>
                <w:lang w:val="ru-RU"/>
              </w:rPr>
            </w:pPr>
          </w:p>
        </w:tc>
        <w:tc>
          <w:tcPr>
            <w:tcW w:w="2834" w:type="dxa"/>
            <w:vMerge w:val="continue"/>
          </w:tcPr>
          <w:p w14:paraId="2C6EBFE6">
            <w:pPr>
              <w:rPr>
                <w:rFonts w:ascii="Times New Roman" w:hAnsi="Times New Roman" w:cs="Times New Roman"/>
                <w:color w:val="7030A0"/>
                <w:sz w:val="22"/>
                <w:szCs w:val="22"/>
                <w:lang w:val="ru-RU"/>
              </w:rPr>
            </w:pPr>
          </w:p>
        </w:tc>
        <w:tc>
          <w:tcPr>
            <w:tcW w:w="1799" w:type="dxa"/>
            <w:vMerge w:val="continue"/>
          </w:tcPr>
          <w:p w14:paraId="3CDAFFD0">
            <w:pPr>
              <w:rPr>
                <w:rFonts w:ascii="Times New Roman" w:hAnsi="Times New Roman" w:cs="Times New Roman"/>
                <w:color w:val="7030A0"/>
                <w:sz w:val="22"/>
                <w:szCs w:val="22"/>
                <w:lang w:val="ru-RU"/>
              </w:rPr>
            </w:pPr>
          </w:p>
        </w:tc>
      </w:tr>
      <w:tr w14:paraId="5D93A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70" w:hRule="atLeast"/>
        </w:trPr>
        <w:tc>
          <w:tcPr>
            <w:tcW w:w="937" w:type="dxa"/>
            <w:vMerge w:val="continue"/>
          </w:tcPr>
          <w:p w14:paraId="082CA25B">
            <w:pPr>
              <w:rPr>
                <w:rFonts w:ascii="Times New Roman" w:hAnsi="Times New Roman" w:eastAsia="Times New Roman" w:cs="Times New Roman"/>
                <w:color w:val="7030A0"/>
                <w:sz w:val="22"/>
                <w:szCs w:val="22"/>
                <w:lang w:val="ru-RU"/>
              </w:rPr>
            </w:pPr>
          </w:p>
        </w:tc>
        <w:tc>
          <w:tcPr>
            <w:tcW w:w="2597" w:type="dxa"/>
            <w:vMerge w:val="continue"/>
          </w:tcPr>
          <w:p w14:paraId="5DB3B418">
            <w:pPr>
              <w:rPr>
                <w:rFonts w:ascii="Times New Roman" w:hAnsi="Times New Roman" w:eastAsia="Times New Roman" w:cs="Times New Roman"/>
                <w:color w:val="7030A0"/>
                <w:sz w:val="22"/>
                <w:szCs w:val="22"/>
                <w:lang w:val="ru-RU"/>
              </w:rPr>
            </w:pPr>
          </w:p>
        </w:tc>
        <w:tc>
          <w:tcPr>
            <w:tcW w:w="2838" w:type="dxa"/>
          </w:tcPr>
          <w:p w14:paraId="6A3613F4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Организация и проведение внутренних аудитов проверки соблюдения стандартов качества</w:t>
            </w:r>
          </w:p>
        </w:tc>
        <w:tc>
          <w:tcPr>
            <w:tcW w:w="3809" w:type="dxa"/>
            <w:shd w:val="clear" w:color="auto" w:fill="auto"/>
          </w:tcPr>
          <w:p w14:paraId="6E10A85A">
            <w:pPr>
              <w:jc w:val="both"/>
              <w:rPr>
                <w:rFonts w:ascii="Times New Roman" w:hAnsi="Times New Roman" w:eastAsia="SimSu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val="ru-RU"/>
              </w:rPr>
              <w:t>Организовывать взаимодействие между структурными подразделениями по составлению и предоставлению отчета об оценке профессиональных рисков</w:t>
            </w:r>
          </w:p>
        </w:tc>
        <w:tc>
          <w:tcPr>
            <w:tcW w:w="2834" w:type="dxa"/>
            <w:vMerge w:val="continue"/>
          </w:tcPr>
          <w:p w14:paraId="04E5D09E">
            <w:pPr>
              <w:rPr>
                <w:rFonts w:ascii="Times New Roman" w:hAnsi="Times New Roman" w:cs="Times New Roman"/>
                <w:color w:val="7030A0"/>
                <w:sz w:val="22"/>
                <w:szCs w:val="22"/>
                <w:lang w:val="ru-RU"/>
              </w:rPr>
            </w:pPr>
          </w:p>
        </w:tc>
        <w:tc>
          <w:tcPr>
            <w:tcW w:w="1799" w:type="dxa"/>
            <w:vMerge w:val="continue"/>
          </w:tcPr>
          <w:p w14:paraId="25DABB15">
            <w:pPr>
              <w:rPr>
                <w:rFonts w:ascii="Times New Roman" w:hAnsi="Times New Roman" w:cs="Times New Roman"/>
                <w:color w:val="7030A0"/>
                <w:sz w:val="22"/>
                <w:szCs w:val="22"/>
                <w:lang w:val="ru-RU"/>
              </w:rPr>
            </w:pPr>
          </w:p>
        </w:tc>
      </w:tr>
      <w:tr w14:paraId="44F60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70" w:hRule="atLeast"/>
        </w:trPr>
        <w:tc>
          <w:tcPr>
            <w:tcW w:w="937" w:type="dxa"/>
            <w:vMerge w:val="continue"/>
          </w:tcPr>
          <w:p w14:paraId="5D3EAD67">
            <w:pPr>
              <w:rPr>
                <w:rFonts w:ascii="Times New Roman" w:hAnsi="Times New Roman" w:eastAsia="Times New Roman" w:cs="Times New Roman"/>
                <w:color w:val="7030A0"/>
                <w:sz w:val="22"/>
                <w:szCs w:val="22"/>
                <w:lang w:val="ru-RU"/>
              </w:rPr>
            </w:pPr>
          </w:p>
        </w:tc>
        <w:tc>
          <w:tcPr>
            <w:tcW w:w="2597" w:type="dxa"/>
            <w:vMerge w:val="continue"/>
          </w:tcPr>
          <w:p w14:paraId="76D21A64">
            <w:pPr>
              <w:rPr>
                <w:rFonts w:ascii="Times New Roman" w:hAnsi="Times New Roman" w:eastAsia="Times New Roman" w:cs="Times New Roman"/>
                <w:color w:val="7030A0"/>
                <w:sz w:val="22"/>
                <w:szCs w:val="22"/>
                <w:lang w:val="ru-RU"/>
              </w:rPr>
            </w:pPr>
          </w:p>
        </w:tc>
        <w:tc>
          <w:tcPr>
            <w:tcW w:w="2838" w:type="dxa"/>
          </w:tcPr>
          <w:p w14:paraId="578F7861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Рассмотрение и согласование плана мероприятий и контрольных процедур по управлению профессиональными рисками в организации</w:t>
            </w:r>
          </w:p>
        </w:tc>
        <w:tc>
          <w:tcPr>
            <w:tcW w:w="3809" w:type="dxa"/>
            <w:shd w:val="clear" w:color="auto" w:fill="auto"/>
          </w:tcPr>
          <w:p w14:paraId="0B417D7E">
            <w:pPr>
              <w:jc w:val="both"/>
              <w:rPr>
                <w:rFonts w:ascii="Times New Roman" w:hAnsi="Times New Roman" w:eastAsia="SimSu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val="ru-RU"/>
              </w:rPr>
              <w:t>Анализировать планы мероприятий структурных подразделений по управлению профессиональными рисками</w:t>
            </w:r>
          </w:p>
        </w:tc>
        <w:tc>
          <w:tcPr>
            <w:tcW w:w="2834" w:type="dxa"/>
            <w:vMerge w:val="continue"/>
          </w:tcPr>
          <w:p w14:paraId="13839C44">
            <w:pPr>
              <w:rPr>
                <w:rFonts w:ascii="Times New Roman" w:hAnsi="Times New Roman" w:cs="Times New Roman"/>
                <w:color w:val="7030A0"/>
                <w:sz w:val="22"/>
                <w:szCs w:val="22"/>
                <w:lang w:val="ru-RU"/>
              </w:rPr>
            </w:pPr>
          </w:p>
        </w:tc>
        <w:tc>
          <w:tcPr>
            <w:tcW w:w="1799" w:type="dxa"/>
            <w:vMerge w:val="continue"/>
          </w:tcPr>
          <w:p w14:paraId="5E5D3F0C">
            <w:pPr>
              <w:rPr>
                <w:rFonts w:ascii="Times New Roman" w:hAnsi="Times New Roman" w:cs="Times New Roman"/>
                <w:color w:val="7030A0"/>
                <w:sz w:val="22"/>
                <w:szCs w:val="22"/>
                <w:lang w:val="ru-RU"/>
              </w:rPr>
            </w:pPr>
          </w:p>
        </w:tc>
      </w:tr>
      <w:tr w14:paraId="604CC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70" w:hRule="atLeast"/>
        </w:trPr>
        <w:tc>
          <w:tcPr>
            <w:tcW w:w="937" w:type="dxa"/>
            <w:vMerge w:val="continue"/>
          </w:tcPr>
          <w:p w14:paraId="1363C7F2">
            <w:pPr>
              <w:rPr>
                <w:rFonts w:ascii="Times New Roman" w:hAnsi="Times New Roman" w:eastAsia="Times New Roman" w:cs="Times New Roman"/>
                <w:color w:val="7030A0"/>
                <w:sz w:val="22"/>
                <w:szCs w:val="22"/>
                <w:lang w:val="ru-RU"/>
              </w:rPr>
            </w:pPr>
          </w:p>
        </w:tc>
        <w:tc>
          <w:tcPr>
            <w:tcW w:w="2597" w:type="dxa"/>
            <w:vMerge w:val="continue"/>
          </w:tcPr>
          <w:p w14:paraId="5CBB132B">
            <w:pPr>
              <w:rPr>
                <w:rFonts w:ascii="Times New Roman" w:hAnsi="Times New Roman" w:eastAsia="Times New Roman" w:cs="Times New Roman"/>
                <w:color w:val="7030A0"/>
                <w:sz w:val="22"/>
                <w:szCs w:val="22"/>
                <w:lang w:val="ru-RU"/>
              </w:rPr>
            </w:pPr>
          </w:p>
        </w:tc>
        <w:tc>
          <w:tcPr>
            <w:tcW w:w="2838" w:type="dxa"/>
          </w:tcPr>
          <w:p w14:paraId="3D1F7774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Организация и контроль подготовки предложений по корректировке результатов управления профессиональными рисками в организации</w:t>
            </w:r>
          </w:p>
        </w:tc>
        <w:tc>
          <w:tcPr>
            <w:tcW w:w="3809" w:type="dxa"/>
            <w:vMerge w:val="restart"/>
            <w:shd w:val="clear" w:color="auto" w:fill="auto"/>
          </w:tcPr>
          <w:p w14:paraId="4C82EE1E">
            <w:pPr>
              <w:jc w:val="both"/>
              <w:rPr>
                <w:rFonts w:ascii="Times New Roman" w:hAnsi="Times New Roman" w:eastAsia="SimSu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val="ru-RU"/>
              </w:rPr>
              <w:t>Анализировать показатели внедрения системных мероприятий управления профессиональными рисками</w:t>
            </w:r>
          </w:p>
        </w:tc>
        <w:tc>
          <w:tcPr>
            <w:tcW w:w="2834" w:type="dxa"/>
            <w:vMerge w:val="continue"/>
          </w:tcPr>
          <w:p w14:paraId="6FD4FB1E">
            <w:pPr>
              <w:rPr>
                <w:rFonts w:ascii="Times New Roman" w:hAnsi="Times New Roman" w:cs="Times New Roman"/>
                <w:color w:val="7030A0"/>
                <w:sz w:val="22"/>
                <w:szCs w:val="22"/>
                <w:lang w:val="ru-RU"/>
              </w:rPr>
            </w:pPr>
          </w:p>
        </w:tc>
        <w:tc>
          <w:tcPr>
            <w:tcW w:w="1799" w:type="dxa"/>
            <w:vMerge w:val="continue"/>
          </w:tcPr>
          <w:p w14:paraId="018CF15D">
            <w:pPr>
              <w:rPr>
                <w:rFonts w:ascii="Times New Roman" w:hAnsi="Times New Roman" w:cs="Times New Roman"/>
                <w:color w:val="7030A0"/>
                <w:sz w:val="22"/>
                <w:szCs w:val="22"/>
                <w:lang w:val="ru-RU"/>
              </w:rPr>
            </w:pPr>
          </w:p>
        </w:tc>
      </w:tr>
      <w:tr w14:paraId="1ECA7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70" w:hRule="atLeast"/>
        </w:trPr>
        <w:tc>
          <w:tcPr>
            <w:tcW w:w="937" w:type="dxa"/>
            <w:vMerge w:val="continue"/>
          </w:tcPr>
          <w:p w14:paraId="7E7A6C05">
            <w:pPr>
              <w:rPr>
                <w:rFonts w:ascii="Times New Roman" w:hAnsi="Times New Roman" w:eastAsia="Times New Roman" w:cs="Times New Roman"/>
                <w:color w:val="7030A0"/>
                <w:sz w:val="22"/>
                <w:szCs w:val="22"/>
                <w:lang w:val="ru-RU"/>
              </w:rPr>
            </w:pPr>
          </w:p>
        </w:tc>
        <w:tc>
          <w:tcPr>
            <w:tcW w:w="2597" w:type="dxa"/>
            <w:vMerge w:val="continue"/>
          </w:tcPr>
          <w:p w14:paraId="570BD2DD">
            <w:pPr>
              <w:rPr>
                <w:rFonts w:ascii="Times New Roman" w:hAnsi="Times New Roman" w:eastAsia="Times New Roman" w:cs="Times New Roman"/>
                <w:color w:val="7030A0"/>
                <w:sz w:val="22"/>
                <w:szCs w:val="22"/>
                <w:lang w:val="ru-RU"/>
              </w:rPr>
            </w:pPr>
          </w:p>
        </w:tc>
        <w:tc>
          <w:tcPr>
            <w:tcW w:w="2838" w:type="dxa"/>
          </w:tcPr>
          <w:p w14:paraId="0376FFF3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Контроль выполнения корректирующих и предупреждающих мероприятий, направленных на снижение уровней профессиональных рисков</w:t>
            </w:r>
          </w:p>
        </w:tc>
        <w:tc>
          <w:tcPr>
            <w:tcW w:w="3809" w:type="dxa"/>
            <w:vMerge w:val="continue"/>
            <w:shd w:val="clear" w:color="auto" w:fill="auto"/>
          </w:tcPr>
          <w:p w14:paraId="241C35E0">
            <w:pPr>
              <w:jc w:val="both"/>
              <w:rPr>
                <w:rFonts w:ascii="Times New Roman" w:hAnsi="Times New Roman" w:eastAsia="SimSun" w:cs="Times New Roman"/>
                <w:sz w:val="22"/>
                <w:szCs w:val="22"/>
                <w:lang w:val="ru-RU"/>
              </w:rPr>
            </w:pPr>
          </w:p>
        </w:tc>
        <w:tc>
          <w:tcPr>
            <w:tcW w:w="2834" w:type="dxa"/>
            <w:vMerge w:val="continue"/>
          </w:tcPr>
          <w:p w14:paraId="009B3F22">
            <w:pPr>
              <w:rPr>
                <w:rFonts w:ascii="Times New Roman" w:hAnsi="Times New Roman" w:cs="Times New Roman"/>
                <w:color w:val="7030A0"/>
                <w:sz w:val="22"/>
                <w:szCs w:val="22"/>
                <w:lang w:val="ru-RU"/>
              </w:rPr>
            </w:pPr>
          </w:p>
        </w:tc>
        <w:tc>
          <w:tcPr>
            <w:tcW w:w="1799" w:type="dxa"/>
            <w:vMerge w:val="continue"/>
          </w:tcPr>
          <w:p w14:paraId="001A6C6C">
            <w:pPr>
              <w:rPr>
                <w:rFonts w:ascii="Times New Roman" w:hAnsi="Times New Roman" w:cs="Times New Roman"/>
                <w:color w:val="7030A0"/>
                <w:sz w:val="22"/>
                <w:szCs w:val="22"/>
                <w:lang w:val="ru-RU"/>
              </w:rPr>
            </w:pPr>
          </w:p>
        </w:tc>
      </w:tr>
      <w:tr w14:paraId="6233D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825" w:hRule="atLeast"/>
        </w:trPr>
        <w:tc>
          <w:tcPr>
            <w:tcW w:w="937" w:type="dxa"/>
            <w:vMerge w:val="continue"/>
          </w:tcPr>
          <w:p w14:paraId="7794609F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97" w:type="dxa"/>
            <w:vMerge w:val="continue"/>
          </w:tcPr>
          <w:p w14:paraId="19506E16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838" w:type="dxa"/>
          </w:tcPr>
          <w:p w14:paraId="424C6B86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Организация деятельности по документальному оформлению процедур управления профессиональными рисками</w:t>
            </w:r>
          </w:p>
        </w:tc>
        <w:tc>
          <w:tcPr>
            <w:tcW w:w="3809" w:type="dxa"/>
            <w:shd w:val="clear" w:color="auto" w:fill="auto"/>
          </w:tcPr>
          <w:p w14:paraId="747AE85E">
            <w:pPr>
              <w:jc w:val="both"/>
              <w:rPr>
                <w:rFonts w:ascii="Times New Roman" w:hAnsi="Times New Roman" w:eastAsia="SimSu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val="ru-RU"/>
              </w:rPr>
              <w:t>Разрабатывать предложения и рекомендации по совершенствованию системы управления профессиональными рисками в организации</w:t>
            </w:r>
          </w:p>
        </w:tc>
        <w:tc>
          <w:tcPr>
            <w:tcW w:w="2834" w:type="dxa"/>
            <w:vMerge w:val="continue"/>
          </w:tcPr>
          <w:p w14:paraId="09BB58A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99" w:type="dxa"/>
            <w:vMerge w:val="continue"/>
          </w:tcPr>
          <w:p w14:paraId="620D18C9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2EB2537D">
      <w:pPr>
        <w:rPr>
          <w:rFonts w:ascii="Times New Roman" w:hAnsi="Times New Roman" w:eastAsia="Times New Roman" w:cs="Times New Roman"/>
          <w:sz w:val="22"/>
          <w:szCs w:val="22"/>
          <w:lang w:val="ru-RU"/>
        </w:rPr>
      </w:pPr>
    </w:p>
    <w:p w14:paraId="4CC05DBC">
      <w:pPr>
        <w:rPr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>10. Возможные наименования должностей, профессий и иные дополнительные характеристики:</w:t>
      </w:r>
    </w:p>
    <w:tbl>
      <w:tblPr>
        <w:tblStyle w:val="21"/>
        <w:tblW w:w="148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4934"/>
        <w:gridCol w:w="2430"/>
        <w:gridCol w:w="2256"/>
        <w:gridCol w:w="5212"/>
      </w:tblGrid>
      <w:tr w14:paraId="19552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934" w:type="dxa"/>
          </w:tcPr>
          <w:p w14:paraId="3D61525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Связанные с квалификацией наименования должностей, профессий, специальностей, групп, видов деятельности, компетенций и прочее</w:t>
            </w:r>
          </w:p>
        </w:tc>
        <w:tc>
          <w:tcPr>
            <w:tcW w:w="2430" w:type="dxa"/>
          </w:tcPr>
          <w:p w14:paraId="73BD53FE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Документ, цифровой ресурс</w:t>
            </w:r>
          </w:p>
        </w:tc>
        <w:tc>
          <w:tcPr>
            <w:tcW w:w="2256" w:type="dxa"/>
          </w:tcPr>
          <w:p w14:paraId="0AD46B22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Код по документу (ресурса)</w:t>
            </w:r>
          </w:p>
        </w:tc>
        <w:tc>
          <w:tcPr>
            <w:tcW w:w="5212" w:type="dxa"/>
          </w:tcPr>
          <w:p w14:paraId="1F65AB8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Полное наименование и реквизиты документа (адрес ресурса)</w:t>
            </w:r>
          </w:p>
        </w:tc>
      </w:tr>
      <w:tr w14:paraId="64BF6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438" w:hRule="atLeast"/>
        </w:trPr>
        <w:tc>
          <w:tcPr>
            <w:tcW w:w="4934" w:type="dxa"/>
          </w:tcPr>
          <w:p w14:paraId="15F4D551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Руководитель направления по управлению профессиональными рисками</w:t>
            </w:r>
          </w:p>
          <w:p w14:paraId="6BD900F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Заместитель руководителя по управлению профессиональными рисками</w:t>
            </w:r>
          </w:p>
          <w:p w14:paraId="6C383DB3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Руководитель отдела по управлению профессиональными рисками</w:t>
            </w:r>
          </w:p>
          <w:p w14:paraId="7681D041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Руководитель департамента по управлению профессиональными рисками</w:t>
            </w:r>
          </w:p>
          <w:p w14:paraId="08DDFEF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Руководитель центра по управлению профессиональными рисками</w:t>
            </w:r>
          </w:p>
          <w:p w14:paraId="3C98EE82">
            <w:pPr>
              <w:rPr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Руководитель центра охраны труда</w:t>
            </w:r>
          </w:p>
        </w:tc>
        <w:tc>
          <w:tcPr>
            <w:tcW w:w="2430" w:type="dxa"/>
          </w:tcPr>
          <w:p w14:paraId="2BCBF9B7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ОКЗ</w:t>
            </w:r>
          </w:p>
        </w:tc>
        <w:tc>
          <w:tcPr>
            <w:tcW w:w="2256" w:type="dxa"/>
          </w:tcPr>
          <w:p w14:paraId="38BD0001">
            <w:pPr>
              <w:jc w:val="center"/>
              <w:rPr>
                <w:i/>
                <w:iCs/>
                <w:strike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1120</w:t>
            </w:r>
          </w:p>
        </w:tc>
        <w:tc>
          <w:tcPr>
            <w:tcW w:w="5212" w:type="dxa"/>
          </w:tcPr>
          <w:p w14:paraId="733C02BE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Руководители учреждений, организаций и предприятий</w:t>
            </w:r>
          </w:p>
        </w:tc>
      </w:tr>
      <w:tr w14:paraId="63EC4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887" w:hRule="atLeast"/>
        </w:trPr>
        <w:tc>
          <w:tcPr>
            <w:tcW w:w="4934" w:type="dxa"/>
          </w:tcPr>
          <w:p w14:paraId="0F5238C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430" w:type="dxa"/>
          </w:tcPr>
          <w:p w14:paraId="531DC93B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ОКВЭД</w:t>
            </w:r>
          </w:p>
        </w:tc>
        <w:tc>
          <w:tcPr>
            <w:tcW w:w="2256" w:type="dxa"/>
          </w:tcPr>
          <w:p w14:paraId="50290A1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71.20.7</w:t>
            </w:r>
          </w:p>
        </w:tc>
        <w:tc>
          <w:tcPr>
            <w:tcW w:w="5212" w:type="dxa"/>
          </w:tcPr>
          <w:p w14:paraId="35F13A52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Деятельность по оценке условий труда</w:t>
            </w:r>
          </w:p>
        </w:tc>
      </w:tr>
      <w:tr w14:paraId="66B5C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438" w:hRule="atLeast"/>
        </w:trPr>
        <w:tc>
          <w:tcPr>
            <w:tcW w:w="4934" w:type="dxa"/>
          </w:tcPr>
          <w:p w14:paraId="606A1A3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430" w:type="dxa"/>
          </w:tcPr>
          <w:p w14:paraId="4478C1E7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ОКПДТР</w:t>
            </w:r>
          </w:p>
        </w:tc>
        <w:tc>
          <w:tcPr>
            <w:tcW w:w="2256" w:type="dxa"/>
          </w:tcPr>
          <w:p w14:paraId="432D728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203312</w:t>
            </w:r>
          </w:p>
        </w:tc>
        <w:tc>
          <w:tcPr>
            <w:tcW w:w="5212" w:type="dxa"/>
          </w:tcPr>
          <w:p w14:paraId="0651FBCD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Руководитель (начальник, директор) подразделения (отдела, службы, дирекции, департамента, управления, центра) по управлению профессиональными рисками</w:t>
            </w:r>
          </w:p>
        </w:tc>
      </w:tr>
      <w:tr w14:paraId="5D214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484" w:hRule="atLeast"/>
        </w:trPr>
        <w:tc>
          <w:tcPr>
            <w:tcW w:w="4934" w:type="dxa"/>
          </w:tcPr>
          <w:p w14:paraId="18E55FE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430" w:type="dxa"/>
          </w:tcPr>
          <w:p w14:paraId="234CDDA5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ЕКС</w:t>
            </w:r>
          </w:p>
        </w:tc>
        <w:tc>
          <w:tcPr>
            <w:tcW w:w="2256" w:type="dxa"/>
          </w:tcPr>
          <w:p w14:paraId="47B2E20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5212" w:type="dxa"/>
          </w:tcPr>
          <w:p w14:paraId="0678207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Специалист по охране труда</w:t>
            </w:r>
          </w:p>
        </w:tc>
      </w:tr>
      <w:tr w14:paraId="4FCCE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876" w:hRule="atLeast"/>
        </w:trPr>
        <w:tc>
          <w:tcPr>
            <w:tcW w:w="4934" w:type="dxa"/>
          </w:tcPr>
          <w:p w14:paraId="14D5BADE">
            <w:pPr>
              <w:rPr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14:paraId="50FCCB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Перечни ВО </w:t>
            </w:r>
          </w:p>
        </w:tc>
        <w:tc>
          <w:tcPr>
            <w:tcW w:w="2256" w:type="dxa"/>
            <w:shd w:val="clear" w:color="auto" w:fill="FFFFFF" w:themeFill="background1"/>
          </w:tcPr>
          <w:p w14:paraId="104655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20.03.01</w:t>
            </w:r>
          </w:p>
          <w:p w14:paraId="2763ED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20.04.01</w:t>
            </w:r>
          </w:p>
          <w:p w14:paraId="4860046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212" w:type="dxa"/>
            <w:shd w:val="clear" w:color="auto" w:fill="FFFFFF" w:themeFill="background1"/>
          </w:tcPr>
          <w:p w14:paraId="72881FC8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Техносферная безопасность</w:t>
            </w:r>
          </w:p>
          <w:p w14:paraId="629FFA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Техносферная безопасность</w:t>
            </w:r>
          </w:p>
          <w:p w14:paraId="47D725C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01DAAE9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21E5B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805" w:hRule="atLeast"/>
        </w:trPr>
        <w:tc>
          <w:tcPr>
            <w:tcW w:w="4934" w:type="dxa"/>
          </w:tcPr>
          <w:p w14:paraId="2C629924">
            <w:pPr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224F58B2">
            <w:pPr>
              <w:rPr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Государственный информационный ресурс "Справочник профессий"</w:t>
            </w:r>
          </w:p>
        </w:tc>
        <w:tc>
          <w:tcPr>
            <w:tcW w:w="2256" w:type="dxa"/>
          </w:tcPr>
          <w:p w14:paraId="61F68E5A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212" w:type="dxa"/>
          </w:tcPr>
          <w:p w14:paraId="0C7F2BB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14:paraId="1734A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934" w:type="dxa"/>
          </w:tcPr>
          <w:p w14:paraId="4B97D68F">
            <w:pPr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41E04A3D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Иное (указать)</w:t>
            </w:r>
          </w:p>
        </w:tc>
        <w:tc>
          <w:tcPr>
            <w:tcW w:w="2256" w:type="dxa"/>
          </w:tcPr>
          <w:p w14:paraId="4F47819F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212" w:type="dxa"/>
          </w:tcPr>
          <w:p w14:paraId="230AFA51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</w:tbl>
    <w:p w14:paraId="020CB497">
      <w:pPr>
        <w:rPr>
          <w:color w:val="7030A0"/>
          <w:sz w:val="22"/>
          <w:szCs w:val="22"/>
        </w:rPr>
      </w:pPr>
    </w:p>
    <w:p w14:paraId="1220A92F">
      <w:pPr>
        <w:rPr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11. Основные пути получения квалификации:</w:t>
      </w:r>
    </w:p>
    <w:p w14:paraId="307185BD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3CB1EC4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Высшее образование и дополнительное профессиональное образование - программы повышения квалификации по профилю деятельности</w:t>
      </w:r>
    </w:p>
    <w:p w14:paraId="4F1C652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или</w:t>
      </w:r>
    </w:p>
    <w:p w14:paraId="007D606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Высшее образование (непрофильное) и дополнительное профессиональное образование - программы профессиональной переподготовки в области охраны труда и программы повышения квалификации по профилю деятельности</w:t>
      </w:r>
    </w:p>
    <w:p w14:paraId="4213D7C1">
      <w:pPr>
        <w:rPr>
          <w:rFonts w:ascii="Times New Roman" w:hAnsi="Times New Roman" w:eastAsia="Times New Roman" w:cs="Times New Roman"/>
          <w:sz w:val="22"/>
          <w:szCs w:val="22"/>
          <w:lang w:val="ru-RU"/>
        </w:rPr>
      </w:pPr>
    </w:p>
    <w:p w14:paraId="76EE9CAE">
      <w:pPr>
        <w:rPr>
          <w:rFonts w:ascii="Times New Roman" w:hAnsi="Times New Roman" w:eastAsia="Times New Roman" w:cs="Times New Roman"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>Опыт практической работы (стаж работы и особые требования (при необходимости), возможные варианты):</w:t>
      </w:r>
    </w:p>
    <w:p w14:paraId="2A90B1C1">
      <w:pPr>
        <w:rPr>
          <w:rFonts w:ascii="Times New Roman" w:hAnsi="Times New Roman" w:eastAsia="Times New Roman" w:cs="Times New Roman"/>
          <w:sz w:val="22"/>
          <w:szCs w:val="22"/>
          <w:lang w:val="ru-RU"/>
        </w:rPr>
      </w:pPr>
    </w:p>
    <w:p w14:paraId="2A4400D0">
      <w:pPr>
        <w:rPr>
          <w:rFonts w:ascii="Times New Roman" w:hAnsi="Times New Roman" w:eastAsia="Times New Roman" w:cs="Times New Roman"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>Не менее пяти лет в области охраны труда</w:t>
      </w:r>
    </w:p>
    <w:p w14:paraId="550520B4">
      <w:pPr>
        <w:jc w:val="both"/>
        <w:rPr>
          <w:rFonts w:ascii="Times New Roman" w:hAnsi="Times New Roman" w:eastAsia="Times New Roman" w:cs="Times New Roman"/>
          <w:sz w:val="22"/>
          <w:szCs w:val="22"/>
          <w:lang w:val="ru-RU"/>
        </w:rPr>
      </w:pPr>
    </w:p>
    <w:p w14:paraId="3417CBAF">
      <w:pPr>
        <w:rPr>
          <w:i/>
          <w:iCs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>12. Особые условия допуска к работе:</w:t>
      </w:r>
    </w:p>
    <w:p w14:paraId="5742DA7B">
      <w:pPr>
        <w:jc w:val="both"/>
        <w:rPr>
          <w:rFonts w:ascii="Times New Roman" w:hAnsi="Times New Roman" w:eastAsia="Times New Roman" w:cs="Times New Roman"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>Обучение по охране труда и проверка знания требований охраны труда</w:t>
      </w:r>
    </w:p>
    <w:p w14:paraId="61196BD4">
      <w:pPr>
        <w:jc w:val="both"/>
        <w:rPr>
          <w:rFonts w:ascii="Times New Roman" w:hAnsi="Times New Roman" w:eastAsia="Times New Roman" w:cs="Times New Roman"/>
          <w:sz w:val="22"/>
          <w:szCs w:val="22"/>
          <w:lang w:val="ru-RU"/>
        </w:rPr>
      </w:pPr>
    </w:p>
    <w:p w14:paraId="77C308D1">
      <w:pPr>
        <w:rPr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13.Наличие специального права в соответствии с федеральными законами и иными нормативными правовыми актами Российской Федерации, необходимого для выполнения работы (при наличии): - </w:t>
      </w:r>
    </w:p>
    <w:p w14:paraId="5EF89424">
      <w:pPr>
        <w:rPr>
          <w:sz w:val="22"/>
          <w:szCs w:val="22"/>
          <w:lang w:val="ru-RU"/>
        </w:rPr>
      </w:pPr>
    </w:p>
    <w:p w14:paraId="5915F04F">
      <w:pPr>
        <w:rPr>
          <w:rFonts w:ascii="Times New Roman" w:hAnsi="Times New Roman" w:eastAsia="Times New Roman" w:cs="Times New Roman"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>14. Перечень документов, необходимых для прохождения профессионального экзамена по соответствующей квалификации:</w:t>
      </w:r>
    </w:p>
    <w:p w14:paraId="5192B31E">
      <w:pPr>
        <w:rPr>
          <w:rFonts w:ascii="Times New Roman" w:hAnsi="Times New Roman" w:eastAsia="Times New Roman" w:cs="Times New Roman"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1. Документ подтверждающий высшего образования </w:t>
      </w:r>
    </w:p>
    <w:p w14:paraId="46500233">
      <w:pPr>
        <w:rPr>
          <w:rFonts w:ascii="Times New Roman" w:hAnsi="Times New Roman" w:eastAsia="Times New Roman" w:cs="Times New Roman"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>2. Документ подтверждающий дополнительное профессиональное образование - программы повышения квалификации по профилю деятельности</w:t>
      </w:r>
    </w:p>
    <w:p w14:paraId="617983AD">
      <w:pPr>
        <w:rPr>
          <w:rFonts w:ascii="Times New Roman" w:hAnsi="Times New Roman" w:eastAsia="Times New Roman" w:cs="Times New Roman"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>3. Документ подтверждающий опыт работы не менее: пяти лет в области охраны труда</w:t>
      </w:r>
    </w:p>
    <w:p w14:paraId="59C7F4B5">
      <w:pPr>
        <w:rPr>
          <w:rFonts w:ascii="Times New Roman" w:hAnsi="Times New Roman" w:eastAsia="Times New Roman" w:cs="Times New Roman"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>или</w:t>
      </w:r>
    </w:p>
    <w:p w14:paraId="30C95C03">
      <w:pPr>
        <w:numPr>
          <w:ilvl w:val="0"/>
          <w:numId w:val="1"/>
        </w:numPr>
        <w:rPr>
          <w:rFonts w:ascii="Times New Roman" w:hAnsi="Times New Roman" w:eastAsia="Times New Roman" w:cs="Times New Roman"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Документ подтверждающий высшего образования(непрофильного) </w:t>
      </w:r>
    </w:p>
    <w:p w14:paraId="39750815">
      <w:pPr>
        <w:numPr>
          <w:ilvl w:val="0"/>
          <w:numId w:val="1"/>
        </w:numPr>
        <w:rPr>
          <w:rFonts w:ascii="Times New Roman" w:hAnsi="Times New Roman" w:eastAsia="Times New Roman" w:cs="Times New Roman"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 Документ подтверждающий  дополнительное профессиональное образование - программы профессиональной переподготовки в области охраны труда </w:t>
      </w:r>
    </w:p>
    <w:p w14:paraId="20E9DB71">
      <w:pPr>
        <w:numPr>
          <w:ilvl w:val="0"/>
          <w:numId w:val="1"/>
        </w:numPr>
        <w:rPr>
          <w:rFonts w:ascii="Times New Roman" w:hAnsi="Times New Roman" w:eastAsia="Times New Roman" w:cs="Times New Roman"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 Документ подтверждающий дополнительное профессиональное образование -  программы повышения квалификации по профилю деятельности</w:t>
      </w:r>
    </w:p>
    <w:p w14:paraId="57AA67EE">
      <w:pPr>
        <w:numPr>
          <w:ilvl w:val="0"/>
          <w:numId w:val="1"/>
        </w:numPr>
        <w:rPr>
          <w:rFonts w:ascii="Times New Roman" w:hAnsi="Times New Roman" w:eastAsia="Times New Roman" w:cs="Times New Roman"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>Документ подтверждающий опыт работы не менее: пяти лет в области охраны труда</w:t>
      </w:r>
    </w:p>
    <w:p w14:paraId="65349D46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721AFB9B">
      <w:pPr>
        <w:rPr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1</w:t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>5</w:t>
      </w:r>
      <w:r>
        <w:rPr>
          <w:rFonts w:ascii="Times New Roman" w:hAnsi="Times New Roman" w:eastAsia="Times New Roman" w:cs="Times New Roman"/>
          <w:sz w:val="22"/>
          <w:szCs w:val="22"/>
        </w:rPr>
        <w:t>.Срок действия свидетельства: 5 лет</w:t>
      </w:r>
    </w:p>
    <w:p w14:paraId="0ADE66F1">
      <w:pPr>
        <w:rPr>
          <w:sz w:val="22"/>
          <w:szCs w:val="22"/>
        </w:rPr>
      </w:pPr>
    </w:p>
    <w:sectPr>
      <w:footerReference r:id="rId8" w:type="first"/>
      <w:footerReference r:id="rId6" w:type="default"/>
      <w:footerReference r:id="rId7" w:type="even"/>
      <w:pgSz w:w="16838" w:h="11906" w:orient="landscape"/>
      <w:pgMar w:top="1138" w:right="1138" w:bottom="569" w:left="1138" w:header="0" w:footer="0" w:gutter="0"/>
      <w:cols w:space="720" w:num="1"/>
      <w:formProt w:val="0"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Liberation Sans">
    <w:altName w:val="Arial"/>
    <w:panose1 w:val="00000000000000000000"/>
    <w:charset w:val="CC"/>
    <w:family w:val="swiss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3FF456">
    <w:pPr>
      <w:pStyle w:val="11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86C97">
    <w:pPr>
      <w:pStyle w:val="1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71DE0">
    <w:pPr>
      <w:pStyle w:val="11"/>
      <w:jc w:val="center"/>
    </w:pPr>
    <w:bookmarkStart w:id="1" w:name="PageNumWizard_FOOTER_Базовый1"/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bookmarkEnd w:id="1"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330932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1634CD">
    <w:pPr>
      <w:pStyle w:val="11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50E5EA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644D7F"/>
    <w:multiLevelType w:val="singleLevel"/>
    <w:tmpl w:val="C3644D7F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NotDisplayPageBoundaries w:val="1"/>
  <w:documentProtection w:enforcement="0"/>
  <w:defaultTabStop w:val="708"/>
  <w:autoHyphenation/>
  <w:hyphenationZone w:val="0"/>
  <w:characterSpacingControl w:val="doNotCompress"/>
  <w:compat>
    <w:doNotExpandShiftReturn/>
    <w:compatSetting w:name="compatibilityMode" w:uri="http://schemas.microsoft.com/office/word" w:val="12"/>
  </w:compat>
  <w:rsids>
    <w:rsidRoot w:val="00734848"/>
    <w:rsid w:val="004152AC"/>
    <w:rsid w:val="00734848"/>
    <w:rsid w:val="00771BBD"/>
    <w:rsid w:val="00A23853"/>
    <w:rsid w:val="00A64E31"/>
    <w:rsid w:val="00DF0A6F"/>
    <w:rsid w:val="00F94A5D"/>
    <w:rsid w:val="43D303EB"/>
    <w:rsid w:val="54665ADC"/>
    <w:rsid w:val="70541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Arial" w:hAnsi="Arial" w:eastAsia="Arial" w:cs="Arial"/>
      <w:lang w:val="en-US" w:eastAsia="ru-RU" w:bidi="ar-SA"/>
    </w:rPr>
  </w:style>
  <w:style w:type="paragraph" w:styleId="2">
    <w:name w:val="heading 1"/>
    <w:basedOn w:val="1"/>
    <w:qFormat/>
    <w:uiPriority w:val="0"/>
    <w:pPr>
      <w:jc w:val="center"/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3">
    <w:name w:val="heading 2"/>
    <w:basedOn w:val="1"/>
    <w:qFormat/>
    <w:uiPriority w:val="0"/>
    <w:pPr>
      <w:jc w:val="center"/>
      <w:outlineLvl w:val="1"/>
    </w:pPr>
    <w:rPr>
      <w:rFonts w:ascii="Times New Roman" w:hAnsi="Times New Roman" w:eastAsia="Times New Roman" w:cs="Times New Roman"/>
      <w:sz w:val="24"/>
      <w:szCs w:val="24"/>
    </w:rPr>
  </w:style>
  <w:style w:type="paragraph" w:styleId="4">
    <w:name w:val="heading 3"/>
    <w:next w:val="1"/>
    <w:semiHidden/>
    <w:unhideWhenUsed/>
    <w:qFormat/>
    <w:uiPriority w:val="0"/>
    <w:pPr>
      <w:suppressAutoHyphens/>
      <w:spacing w:beforeAutospacing="1" w:afterAutospacing="1"/>
      <w:outlineLvl w:val="2"/>
    </w:pPr>
    <w:rPr>
      <w:rFonts w:ascii="SimSun" w:hAnsi="SimSun" w:eastAsia="SimSun" w:cs="Times New Roman"/>
      <w:b/>
      <w:bCs/>
      <w:sz w:val="26"/>
      <w:szCs w:val="26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otnote reference"/>
    <w:qFormat/>
    <w:uiPriority w:val="0"/>
    <w:rPr>
      <w:vertAlign w:val="superscript"/>
    </w:rPr>
  </w:style>
  <w:style w:type="paragraph" w:styleId="8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9">
    <w:name w:val="Body Text"/>
    <w:basedOn w:val="1"/>
    <w:qFormat/>
    <w:uiPriority w:val="0"/>
    <w:pPr>
      <w:spacing w:after="140" w:line="276" w:lineRule="auto"/>
    </w:pPr>
  </w:style>
  <w:style w:type="paragraph" w:styleId="10">
    <w:name w:val="index heading"/>
    <w:basedOn w:val="1"/>
    <w:qFormat/>
    <w:uiPriority w:val="0"/>
    <w:pPr>
      <w:suppressLineNumbers/>
    </w:pPr>
    <w:rPr>
      <w:rFonts w:cs="Lucida Sans"/>
    </w:rPr>
  </w:style>
  <w:style w:type="paragraph" w:styleId="11">
    <w:name w:val="footer"/>
    <w:basedOn w:val="12"/>
    <w:qFormat/>
    <w:uiPriority w:val="0"/>
    <w:pPr>
      <w:tabs>
        <w:tab w:val="center" w:pos="7281"/>
        <w:tab w:val="right" w:pos="14562"/>
      </w:tabs>
    </w:pPr>
  </w:style>
  <w:style w:type="paragraph" w:customStyle="1" w:styleId="12">
    <w:name w:val="Колонтитулы"/>
    <w:basedOn w:val="1"/>
    <w:qFormat/>
    <w:uiPriority w:val="0"/>
    <w:pPr>
      <w:suppressLineNumbers/>
      <w:tabs>
        <w:tab w:val="center" w:pos="7281"/>
        <w:tab w:val="right" w:pos="14562"/>
      </w:tabs>
    </w:pPr>
  </w:style>
  <w:style w:type="paragraph" w:styleId="13">
    <w:name w:val="List"/>
    <w:basedOn w:val="9"/>
    <w:qFormat/>
    <w:uiPriority w:val="0"/>
    <w:rPr>
      <w:rFonts w:cs="Lucida Sans"/>
    </w:rPr>
  </w:style>
  <w:style w:type="character" w:customStyle="1" w:styleId="14">
    <w:name w:val="Символ сноски (user)"/>
    <w:semiHidden/>
    <w:unhideWhenUsed/>
    <w:qFormat/>
    <w:uiPriority w:val="0"/>
    <w:rPr>
      <w:vertAlign w:val="superscript"/>
    </w:rPr>
  </w:style>
  <w:style w:type="character" w:customStyle="1" w:styleId="15">
    <w:name w:val="Символ сноски"/>
    <w:qFormat/>
    <w:uiPriority w:val="0"/>
    <w:rPr>
      <w:vertAlign w:val="superscript"/>
    </w:rPr>
  </w:style>
  <w:style w:type="paragraph" w:customStyle="1" w:styleId="16">
    <w:name w:val="Заголовок1"/>
    <w:basedOn w:val="1"/>
    <w:next w:val="9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7">
    <w:name w:val="Заголовок (user)"/>
    <w:basedOn w:val="1"/>
    <w:next w:val="9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8">
    <w:name w:val="Указатель (user)"/>
    <w:basedOn w:val="1"/>
    <w:qFormat/>
    <w:uiPriority w:val="0"/>
    <w:pPr>
      <w:suppressLineNumbers/>
    </w:pPr>
    <w:rPr>
      <w:rFonts w:cs="Lucida Sans"/>
    </w:rPr>
  </w:style>
  <w:style w:type="paragraph" w:styleId="19">
    <w:name w:val="List Paragraph"/>
    <w:basedOn w:val="1"/>
    <w:qFormat/>
    <w:uiPriority w:val="99"/>
    <w:pPr>
      <w:ind w:left="720"/>
      <w:contextualSpacing/>
    </w:pPr>
  </w:style>
  <w:style w:type="paragraph" w:customStyle="1" w:styleId="20">
    <w:name w:val="Колонтитулы (user)"/>
    <w:basedOn w:val="1"/>
    <w:qFormat/>
    <w:uiPriority w:val="0"/>
  </w:style>
  <w:style w:type="table" w:customStyle="1" w:styleId="21">
    <w:name w:val="myOwnTableStyle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0" w:type="dxa"/>
        <w:bottom w:w="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АНО НТЦ ТЕХНОПРОГРЕСС</Company>
  <Pages>7</Pages>
  <Words>1226</Words>
  <Characters>10211</Characters>
  <Lines>647</Lines>
  <Paragraphs>173</Paragraphs>
  <TotalTime>31</TotalTime>
  <ScaleCrop>false</ScaleCrop>
  <LinksUpToDate>false</LinksUpToDate>
  <CharactersWithSpaces>11292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2026-05-24T11:10:00Z</dcterms:created>
  <dc:creator>WPS_1655888128</dc:creator>
  <cp:lastModifiedBy>WPS_1655888128</cp:lastModifiedBy>
  <cp:lastPrinted>2026-05-20T15:00:00Z</cp:lastPrinted>
  <dcterms:modified xsi:type="dcterms:W3CDTF">2026-08-20T12:44:17Z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8CBB1AE5D75B4BC5A665C3CB9DC5EBE9_13</vt:lpwstr>
  </property>
  <property fmtid="{D5CDD505-2E9C-101B-9397-08002B2CF9AE}" pid="3" name="KSOProductBuildVer">
    <vt:lpwstr>1049-12.1.0.28032</vt:lpwstr>
  </property>
  <property fmtid="{D5CDD505-2E9C-101B-9397-08002B2CF9AE}" pid="4" name="KSOTemplateDocerSaveRecord">
    <vt:lpwstr>eyJoZGlkIjoiZTIyZjJiZWZmYzliZWE3M2MzZjAwYWIzOWU0ZDM3MTkiLCJ1c2VySWQiOiI4NDIxNjg2NzU0ODIifQ==</vt:lpwstr>
  </property>
</Properties>
</file>